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558" w:rsidRDefault="00221558" w:rsidP="00221558">
      <w:pPr>
        <w:rPr>
          <w:rFonts w:ascii="Times New Roman" w:hAnsi="Times New Roman" w:cs="Times New Roman"/>
          <w:b/>
          <w:sz w:val="24"/>
          <w:szCs w:val="24"/>
        </w:rPr>
      </w:pPr>
    </w:p>
    <w:p w:rsidR="00221558" w:rsidRDefault="00221558" w:rsidP="00221558">
      <w:pPr>
        <w:rPr>
          <w:rFonts w:ascii="Times New Roman" w:hAnsi="Times New Roman" w:cs="Times New Roman"/>
          <w:b/>
          <w:sz w:val="24"/>
          <w:szCs w:val="24"/>
        </w:rPr>
      </w:pPr>
    </w:p>
    <w:p w:rsidR="009E7871" w:rsidRDefault="009E7871" w:rsidP="00221558">
      <w:pPr>
        <w:rPr>
          <w:rFonts w:ascii="Times New Roman" w:hAnsi="Times New Roman" w:cs="Times New Roman"/>
          <w:b/>
          <w:sz w:val="24"/>
          <w:szCs w:val="24"/>
        </w:rPr>
      </w:pPr>
    </w:p>
    <w:p w:rsidR="00221558" w:rsidRDefault="00D63697" w:rsidP="00221558">
      <w:pPr>
        <w:rPr>
          <w:rFonts w:ascii="Times New Roman" w:hAnsi="Times New Roman" w:cs="Times New Roman"/>
          <w:b/>
          <w:sz w:val="24"/>
          <w:szCs w:val="24"/>
        </w:rPr>
      </w:pPr>
      <w:r>
        <w:rPr>
          <w:rFonts w:ascii="Times New Roman" w:hAnsi="Times New Roman" w:cs="Times New Roman"/>
          <w:b/>
          <w:sz w:val="24"/>
          <w:szCs w:val="24"/>
        </w:rPr>
        <w:t xml:space="preserve">TAYVAN </w:t>
      </w:r>
      <w:r w:rsidR="00221558" w:rsidRPr="00D247C9">
        <w:rPr>
          <w:rFonts w:ascii="Times New Roman" w:hAnsi="Times New Roman" w:cs="Times New Roman"/>
          <w:b/>
          <w:sz w:val="24"/>
          <w:szCs w:val="24"/>
        </w:rPr>
        <w:t>- TÜRKİYE TİCARETİ</w:t>
      </w:r>
    </w:p>
    <w:p w:rsidR="00221558" w:rsidRPr="00D247C9" w:rsidRDefault="00221558" w:rsidP="00221558">
      <w:pPr>
        <w:rPr>
          <w:rFonts w:ascii="Times New Roman" w:hAnsi="Times New Roman" w:cs="Times New Roman"/>
          <w:b/>
          <w:sz w:val="24"/>
          <w:szCs w:val="24"/>
        </w:rPr>
      </w:pPr>
    </w:p>
    <w:p w:rsidR="00221558" w:rsidRPr="000B62F5" w:rsidRDefault="00221558" w:rsidP="00D63697">
      <w:pPr>
        <w:jc w:val="both"/>
        <w:rPr>
          <w:rFonts w:ascii="Times New Roman" w:hAnsi="Times New Roman" w:cs="Times New Roman"/>
          <w:color w:val="000000" w:themeColor="text1"/>
          <w:sz w:val="24"/>
          <w:szCs w:val="24"/>
        </w:rPr>
      </w:pPr>
      <w:r w:rsidRPr="000B62F5">
        <w:rPr>
          <w:rFonts w:ascii="Times New Roman" w:hAnsi="Times New Roman" w:cs="Times New Roman"/>
          <w:color w:val="000000" w:themeColor="text1"/>
          <w:sz w:val="24"/>
          <w:szCs w:val="24"/>
        </w:rPr>
        <w:t>201</w:t>
      </w:r>
      <w:r w:rsidR="008B47AC">
        <w:rPr>
          <w:rFonts w:ascii="Times New Roman" w:hAnsi="Times New Roman" w:cs="Times New Roman"/>
          <w:color w:val="000000" w:themeColor="text1"/>
          <w:sz w:val="24"/>
          <w:szCs w:val="24"/>
        </w:rPr>
        <w:t>5</w:t>
      </w:r>
      <w:r w:rsidRPr="000B62F5">
        <w:rPr>
          <w:rFonts w:ascii="Times New Roman" w:hAnsi="Times New Roman" w:cs="Times New Roman"/>
          <w:color w:val="000000" w:themeColor="text1"/>
          <w:sz w:val="24"/>
          <w:szCs w:val="24"/>
        </w:rPr>
        <w:t xml:space="preserve"> Yılı Türkiye’nin </w:t>
      </w:r>
      <w:r w:rsidR="00D63697">
        <w:rPr>
          <w:rFonts w:ascii="Times New Roman" w:hAnsi="Times New Roman" w:cs="Times New Roman"/>
          <w:color w:val="000000" w:themeColor="text1"/>
          <w:sz w:val="24"/>
          <w:szCs w:val="24"/>
        </w:rPr>
        <w:t>Tayvan’a</w:t>
      </w:r>
      <w:r w:rsidRPr="000B62F5">
        <w:rPr>
          <w:rFonts w:ascii="Times New Roman" w:hAnsi="Times New Roman" w:cs="Times New Roman"/>
          <w:color w:val="000000" w:themeColor="text1"/>
          <w:sz w:val="24"/>
          <w:szCs w:val="24"/>
        </w:rPr>
        <w:t xml:space="preserve"> ihracatı </w:t>
      </w:r>
      <w:r w:rsidR="00D63697">
        <w:rPr>
          <w:rFonts w:ascii="Times New Roman" w:hAnsi="Times New Roman" w:cs="Times New Roman"/>
          <w:color w:val="000000" w:themeColor="text1"/>
          <w:sz w:val="24"/>
          <w:szCs w:val="24"/>
        </w:rPr>
        <w:t>157.067.253</w:t>
      </w:r>
      <w:r w:rsidR="002D1A24">
        <w:rPr>
          <w:rFonts w:ascii="Times New Roman" w:hAnsi="Times New Roman" w:cs="Times New Roman"/>
          <w:color w:val="000000" w:themeColor="text1"/>
          <w:sz w:val="24"/>
          <w:szCs w:val="24"/>
        </w:rPr>
        <w:t xml:space="preserve"> </w:t>
      </w:r>
      <w:r w:rsidRPr="000B62F5">
        <w:rPr>
          <w:rFonts w:ascii="Times New Roman" w:hAnsi="Times New Roman" w:cs="Times New Roman"/>
          <w:color w:val="000000" w:themeColor="text1"/>
          <w:sz w:val="24"/>
          <w:szCs w:val="24"/>
        </w:rPr>
        <w:t>$</w:t>
      </w:r>
    </w:p>
    <w:p w:rsidR="00221558" w:rsidRPr="000B62F5" w:rsidRDefault="00221558" w:rsidP="00D63697">
      <w:pPr>
        <w:jc w:val="both"/>
        <w:rPr>
          <w:rFonts w:ascii="Times New Roman" w:hAnsi="Times New Roman" w:cs="Times New Roman"/>
          <w:color w:val="000000" w:themeColor="text1"/>
          <w:sz w:val="24"/>
          <w:szCs w:val="24"/>
        </w:rPr>
      </w:pPr>
      <w:r w:rsidRPr="000B62F5">
        <w:rPr>
          <w:rFonts w:ascii="Times New Roman" w:hAnsi="Times New Roman" w:cs="Times New Roman"/>
          <w:color w:val="000000" w:themeColor="text1"/>
          <w:sz w:val="24"/>
          <w:szCs w:val="24"/>
        </w:rPr>
        <w:t>201</w:t>
      </w:r>
      <w:r w:rsidR="008B47AC">
        <w:rPr>
          <w:rFonts w:ascii="Times New Roman" w:hAnsi="Times New Roman" w:cs="Times New Roman"/>
          <w:color w:val="000000" w:themeColor="text1"/>
          <w:sz w:val="24"/>
          <w:szCs w:val="24"/>
        </w:rPr>
        <w:t>5</w:t>
      </w:r>
      <w:r w:rsidRPr="000B62F5">
        <w:rPr>
          <w:rFonts w:ascii="Times New Roman" w:hAnsi="Times New Roman" w:cs="Times New Roman"/>
          <w:color w:val="000000" w:themeColor="text1"/>
          <w:sz w:val="24"/>
          <w:szCs w:val="24"/>
        </w:rPr>
        <w:t xml:space="preserve"> yılı </w:t>
      </w:r>
      <w:r w:rsidR="00D63697">
        <w:rPr>
          <w:rFonts w:ascii="Times New Roman" w:hAnsi="Times New Roman" w:cs="Times New Roman"/>
          <w:color w:val="000000" w:themeColor="text1"/>
          <w:sz w:val="24"/>
          <w:szCs w:val="24"/>
        </w:rPr>
        <w:t>Tayvan’ın</w:t>
      </w:r>
      <w:r w:rsidRPr="000B62F5">
        <w:rPr>
          <w:rFonts w:ascii="Times New Roman" w:hAnsi="Times New Roman" w:cs="Times New Roman"/>
          <w:color w:val="000000" w:themeColor="text1"/>
          <w:sz w:val="24"/>
          <w:szCs w:val="24"/>
        </w:rPr>
        <w:t xml:space="preserve"> Türkiye</w:t>
      </w:r>
      <w:r w:rsidR="00D17CAF">
        <w:rPr>
          <w:rFonts w:ascii="Times New Roman" w:hAnsi="Times New Roman" w:cs="Times New Roman"/>
          <w:color w:val="000000" w:themeColor="text1"/>
          <w:sz w:val="24"/>
          <w:szCs w:val="24"/>
        </w:rPr>
        <w:t>’ye</w:t>
      </w:r>
      <w:r w:rsidRPr="000B62F5">
        <w:rPr>
          <w:rFonts w:ascii="Times New Roman" w:hAnsi="Times New Roman" w:cs="Times New Roman"/>
          <w:color w:val="000000" w:themeColor="text1"/>
          <w:sz w:val="24"/>
          <w:szCs w:val="24"/>
        </w:rPr>
        <w:t xml:space="preserve"> ihracatı </w:t>
      </w:r>
      <w:r w:rsidR="00D63697">
        <w:rPr>
          <w:rFonts w:ascii="Times New Roman" w:hAnsi="Times New Roman" w:cs="Times New Roman"/>
          <w:color w:val="000000" w:themeColor="text1"/>
          <w:sz w:val="24"/>
          <w:szCs w:val="24"/>
        </w:rPr>
        <w:t>1.944.554.670</w:t>
      </w:r>
      <w:r w:rsidR="002D1A24">
        <w:rPr>
          <w:rFonts w:ascii="Times New Roman" w:hAnsi="Times New Roman" w:cs="Times New Roman"/>
          <w:color w:val="000000" w:themeColor="text1"/>
          <w:sz w:val="24"/>
          <w:szCs w:val="24"/>
        </w:rPr>
        <w:t xml:space="preserve"> </w:t>
      </w:r>
      <w:r w:rsidRPr="000B62F5">
        <w:rPr>
          <w:rFonts w:ascii="Times New Roman" w:hAnsi="Times New Roman" w:cs="Times New Roman"/>
          <w:color w:val="000000" w:themeColor="text1"/>
          <w:sz w:val="24"/>
          <w:szCs w:val="24"/>
        </w:rPr>
        <w:t>$</w:t>
      </w:r>
    </w:p>
    <w:p w:rsidR="00221558" w:rsidRPr="000B62F5" w:rsidRDefault="00221558" w:rsidP="00D63697">
      <w:pPr>
        <w:jc w:val="both"/>
        <w:rPr>
          <w:rFonts w:ascii="Times New Roman" w:hAnsi="Times New Roman" w:cs="Times New Roman"/>
          <w:color w:val="000000" w:themeColor="text1"/>
          <w:sz w:val="24"/>
          <w:szCs w:val="24"/>
        </w:rPr>
      </w:pPr>
      <w:r w:rsidRPr="000B62F5">
        <w:rPr>
          <w:rFonts w:ascii="Times New Roman" w:hAnsi="Times New Roman" w:cs="Times New Roman"/>
          <w:color w:val="000000" w:themeColor="text1"/>
          <w:sz w:val="24"/>
          <w:szCs w:val="24"/>
        </w:rPr>
        <w:t>201</w:t>
      </w:r>
      <w:r w:rsidR="008B47AC">
        <w:rPr>
          <w:rFonts w:ascii="Times New Roman" w:hAnsi="Times New Roman" w:cs="Times New Roman"/>
          <w:color w:val="000000" w:themeColor="text1"/>
          <w:sz w:val="24"/>
          <w:szCs w:val="24"/>
        </w:rPr>
        <w:t>5</w:t>
      </w:r>
      <w:r w:rsidRPr="000B62F5">
        <w:rPr>
          <w:rFonts w:ascii="Times New Roman" w:hAnsi="Times New Roman" w:cs="Times New Roman"/>
          <w:color w:val="000000" w:themeColor="text1"/>
          <w:sz w:val="24"/>
          <w:szCs w:val="24"/>
        </w:rPr>
        <w:t xml:space="preserve"> yılı Kayseri’nin </w:t>
      </w:r>
      <w:r w:rsidR="00D63697">
        <w:rPr>
          <w:rFonts w:ascii="Times New Roman" w:hAnsi="Times New Roman" w:cs="Times New Roman"/>
          <w:color w:val="000000" w:themeColor="text1"/>
          <w:sz w:val="24"/>
          <w:szCs w:val="24"/>
        </w:rPr>
        <w:t>Tayvan’a</w:t>
      </w:r>
      <w:r w:rsidRPr="000B62F5">
        <w:rPr>
          <w:rFonts w:ascii="Times New Roman" w:hAnsi="Times New Roman" w:cs="Times New Roman"/>
          <w:color w:val="000000" w:themeColor="text1"/>
          <w:sz w:val="24"/>
          <w:szCs w:val="24"/>
        </w:rPr>
        <w:t xml:space="preserve"> ihracatı </w:t>
      </w:r>
      <w:r w:rsidR="00D63697">
        <w:rPr>
          <w:rFonts w:ascii="Times New Roman" w:hAnsi="Times New Roman" w:cs="Times New Roman"/>
          <w:color w:val="000000" w:themeColor="text1"/>
          <w:sz w:val="24"/>
          <w:szCs w:val="24"/>
        </w:rPr>
        <w:t>253.148</w:t>
      </w:r>
      <w:r w:rsidRPr="000B62F5">
        <w:rPr>
          <w:rFonts w:ascii="Times New Roman" w:hAnsi="Times New Roman" w:cs="Times New Roman"/>
          <w:color w:val="000000" w:themeColor="text1"/>
          <w:sz w:val="24"/>
          <w:szCs w:val="24"/>
        </w:rPr>
        <w:t>$</w:t>
      </w:r>
    </w:p>
    <w:p w:rsidR="00221558" w:rsidRPr="000B62F5" w:rsidRDefault="000B62F5" w:rsidP="00D63697">
      <w:pPr>
        <w:jc w:val="both"/>
        <w:rPr>
          <w:rFonts w:ascii="Times New Roman" w:eastAsia="Times New Roman" w:hAnsi="Times New Roman" w:cs="Times New Roman"/>
          <w:b/>
          <w:bCs/>
          <w:color w:val="000000" w:themeColor="text1"/>
          <w:sz w:val="24"/>
          <w:szCs w:val="24"/>
          <w:lang w:eastAsia="tr-TR"/>
        </w:rPr>
      </w:pPr>
      <w:r>
        <w:rPr>
          <w:rFonts w:ascii="Times New Roman" w:hAnsi="Times New Roman" w:cs="Times New Roman"/>
          <w:color w:val="000000" w:themeColor="text1"/>
          <w:sz w:val="24"/>
          <w:szCs w:val="24"/>
        </w:rPr>
        <w:t>201</w:t>
      </w:r>
      <w:r w:rsidR="008B47AC">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yılı </w:t>
      </w:r>
      <w:r w:rsidR="00D63697">
        <w:rPr>
          <w:rFonts w:ascii="Times New Roman" w:hAnsi="Times New Roman" w:cs="Times New Roman"/>
          <w:color w:val="000000" w:themeColor="text1"/>
          <w:sz w:val="24"/>
          <w:szCs w:val="24"/>
        </w:rPr>
        <w:t>Tayvan’ın</w:t>
      </w:r>
      <w:r>
        <w:rPr>
          <w:rFonts w:ascii="Times New Roman" w:hAnsi="Times New Roman" w:cs="Times New Roman"/>
          <w:color w:val="000000" w:themeColor="text1"/>
          <w:sz w:val="24"/>
          <w:szCs w:val="24"/>
        </w:rPr>
        <w:t xml:space="preserve"> </w:t>
      </w:r>
      <w:r w:rsidR="00221558" w:rsidRPr="000B62F5">
        <w:rPr>
          <w:rFonts w:ascii="Times New Roman" w:hAnsi="Times New Roman" w:cs="Times New Roman"/>
          <w:color w:val="000000" w:themeColor="text1"/>
          <w:sz w:val="24"/>
          <w:szCs w:val="24"/>
        </w:rPr>
        <w:t>Kayseri</w:t>
      </w:r>
      <w:r w:rsidR="00D17CAF">
        <w:rPr>
          <w:rFonts w:ascii="Times New Roman" w:hAnsi="Times New Roman" w:cs="Times New Roman"/>
          <w:color w:val="000000" w:themeColor="text1"/>
          <w:sz w:val="24"/>
          <w:szCs w:val="24"/>
        </w:rPr>
        <w:t xml:space="preserve">’ye </w:t>
      </w:r>
      <w:r w:rsidR="00221558" w:rsidRPr="000B62F5">
        <w:rPr>
          <w:rFonts w:ascii="Times New Roman" w:hAnsi="Times New Roman" w:cs="Times New Roman"/>
          <w:color w:val="000000" w:themeColor="text1"/>
          <w:sz w:val="24"/>
          <w:szCs w:val="24"/>
        </w:rPr>
        <w:t xml:space="preserve">ihracatı </w:t>
      </w:r>
      <w:r w:rsidR="00D63697">
        <w:rPr>
          <w:rFonts w:ascii="Times New Roman" w:hAnsi="Times New Roman" w:cs="Times New Roman"/>
          <w:color w:val="000000" w:themeColor="text1"/>
          <w:sz w:val="24"/>
          <w:szCs w:val="24"/>
        </w:rPr>
        <w:t>4.862.872</w:t>
      </w:r>
      <w:r w:rsidR="002D1A24">
        <w:rPr>
          <w:rFonts w:ascii="Times New Roman" w:hAnsi="Times New Roman" w:cs="Times New Roman"/>
          <w:color w:val="000000" w:themeColor="text1"/>
          <w:sz w:val="24"/>
          <w:szCs w:val="24"/>
        </w:rPr>
        <w:t xml:space="preserve"> </w:t>
      </w:r>
      <w:r w:rsidRPr="000B62F5">
        <w:rPr>
          <w:rFonts w:ascii="Times New Roman" w:hAnsi="Times New Roman" w:cs="Times New Roman"/>
          <w:color w:val="000000" w:themeColor="text1"/>
          <w:sz w:val="24"/>
          <w:szCs w:val="24"/>
        </w:rPr>
        <w:t>$</w:t>
      </w:r>
    </w:p>
    <w:tbl>
      <w:tblPr>
        <w:tblpPr w:leftFromText="141" w:rightFromText="141" w:vertAnchor="page" w:horzAnchor="margin" w:tblpY="7352"/>
        <w:tblW w:w="0" w:type="auto"/>
        <w:tblLook w:val="04A0" w:firstRow="1" w:lastRow="0" w:firstColumn="1" w:lastColumn="0" w:noHBand="0" w:noVBand="1"/>
      </w:tblPr>
      <w:tblGrid>
        <w:gridCol w:w="6487"/>
        <w:gridCol w:w="2725"/>
      </w:tblGrid>
      <w:tr w:rsidR="00786E65" w:rsidRPr="002D1A24" w:rsidTr="00786E65">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558" w:rsidRPr="002D1A24" w:rsidRDefault="00221558" w:rsidP="00221558">
            <w:pPr>
              <w:rPr>
                <w:rFonts w:ascii="Times New Roman" w:hAnsi="Times New Roman" w:cs="Times New Roman"/>
                <w:color w:val="000000" w:themeColor="text1"/>
                <w:sz w:val="24"/>
                <w:szCs w:val="24"/>
              </w:rPr>
            </w:pPr>
            <w:r w:rsidRPr="002D1A24">
              <w:rPr>
                <w:rFonts w:ascii="Times New Roman" w:hAnsi="Times New Roman" w:cs="Times New Roman"/>
                <w:color w:val="000000" w:themeColor="text1"/>
                <w:sz w:val="24"/>
                <w:szCs w:val="24"/>
              </w:rPr>
              <w:t>FİRMA</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558" w:rsidRPr="002D1A24" w:rsidRDefault="00221558" w:rsidP="00221558">
            <w:pPr>
              <w:rPr>
                <w:rFonts w:ascii="Times New Roman" w:hAnsi="Times New Roman" w:cs="Times New Roman"/>
                <w:color w:val="000000" w:themeColor="text1"/>
                <w:sz w:val="24"/>
                <w:szCs w:val="24"/>
              </w:rPr>
            </w:pPr>
            <w:r w:rsidRPr="002D1A24">
              <w:rPr>
                <w:rFonts w:ascii="Times New Roman" w:hAnsi="Times New Roman" w:cs="Times New Roman"/>
                <w:color w:val="000000" w:themeColor="text1"/>
                <w:sz w:val="24"/>
                <w:szCs w:val="24"/>
              </w:rPr>
              <w:t>SATILAN ÜRÜN</w:t>
            </w:r>
          </w:p>
        </w:tc>
      </w:tr>
      <w:tr w:rsidR="00D63697" w:rsidRPr="002D1A24" w:rsidTr="00786E65">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3697" w:rsidRPr="002D1A24" w:rsidRDefault="00D63697" w:rsidP="00D63697">
            <w:pPr>
              <w:rPr>
                <w:rFonts w:ascii="Times New Roman" w:hAnsi="Times New Roman" w:cs="Times New Roman"/>
                <w:color w:val="000000" w:themeColor="text1"/>
                <w:sz w:val="24"/>
                <w:szCs w:val="24"/>
              </w:rPr>
            </w:pPr>
            <w:r w:rsidRPr="002D1A24">
              <w:rPr>
                <w:rFonts w:ascii="Times New Roman" w:hAnsi="Times New Roman" w:cs="Times New Roman"/>
                <w:bCs/>
                <w:color w:val="000000" w:themeColor="text1"/>
                <w:sz w:val="24"/>
                <w:szCs w:val="24"/>
              </w:rPr>
              <w:t>KUMTEL DAYANIKLI TÜKETİM MALLARI PLASTİK SANAYİ VE TİCARET ANONİM ŞİRKETİ</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3697" w:rsidRPr="002D1A24" w:rsidRDefault="00D63697" w:rsidP="00D63697">
            <w:pPr>
              <w:rPr>
                <w:rFonts w:ascii="Times New Roman" w:hAnsi="Times New Roman" w:cs="Times New Roman"/>
                <w:color w:val="000000" w:themeColor="text1"/>
                <w:sz w:val="24"/>
                <w:szCs w:val="24"/>
              </w:rPr>
            </w:pPr>
            <w:r w:rsidRPr="002D1A24">
              <w:rPr>
                <w:rFonts w:ascii="Times New Roman" w:hAnsi="Times New Roman" w:cs="Times New Roman"/>
                <w:color w:val="000000" w:themeColor="text1"/>
                <w:sz w:val="24"/>
                <w:szCs w:val="24"/>
              </w:rPr>
              <w:t>ELEKTRİKLİ SOBA</w:t>
            </w:r>
          </w:p>
        </w:tc>
      </w:tr>
    </w:tbl>
    <w:p w:rsidR="00221558" w:rsidRDefault="00221558" w:rsidP="002500EC">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p>
    <w:p w:rsidR="00221558" w:rsidRDefault="00221558" w:rsidP="002500EC">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p>
    <w:p w:rsidR="00221558" w:rsidRDefault="00221558" w:rsidP="002500EC">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p>
    <w:p w:rsidR="00221558" w:rsidRDefault="00221558" w:rsidP="002500EC">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p>
    <w:p w:rsidR="00725167" w:rsidRDefault="00725167" w:rsidP="002500EC">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p>
    <w:p w:rsidR="00725167" w:rsidRDefault="00725167" w:rsidP="002500EC">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p>
    <w:p w:rsidR="00725167" w:rsidRDefault="00725167" w:rsidP="002500EC">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p>
    <w:p w:rsidR="00725167" w:rsidRDefault="00725167" w:rsidP="002500EC">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p>
    <w:p w:rsidR="00705DD6" w:rsidRDefault="00705DD6" w:rsidP="002500EC">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p>
    <w:p w:rsidR="00705DD6" w:rsidRDefault="00705DD6" w:rsidP="002500EC">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p>
    <w:p w:rsidR="00705DD6" w:rsidRDefault="00705DD6" w:rsidP="002500EC">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p>
    <w:p w:rsidR="00705DD6" w:rsidRDefault="00705DD6" w:rsidP="002500EC">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p>
    <w:p w:rsidR="00221558" w:rsidRDefault="00221558" w:rsidP="002500EC">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p>
    <w:p w:rsidR="009E7871" w:rsidRDefault="009E7871" w:rsidP="002500EC">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p>
    <w:p w:rsidR="00A209E1" w:rsidRDefault="00A209E1" w:rsidP="00A209E1">
      <w:pPr>
        <w:pStyle w:val="Balk2"/>
      </w:pPr>
      <w:r>
        <w:lastRenderedPageBreak/>
        <w:t>Genel Ekonomik Durum</w:t>
      </w:r>
    </w:p>
    <w:p w:rsidR="00A209E1" w:rsidRDefault="00A209E1" w:rsidP="00A209E1">
      <w:pPr>
        <w:pStyle w:val="Balk4"/>
      </w:pPr>
      <w:r>
        <w:t> Ekonomi Politikaları</w:t>
      </w:r>
    </w:p>
    <w:p w:rsidR="00A209E1" w:rsidRDefault="00A209E1" w:rsidP="00A209E1">
      <w:pPr>
        <w:pStyle w:val="content-text"/>
        <w:jc w:val="both"/>
      </w:pPr>
      <w:r>
        <w:t xml:space="preserve">Tayvan 50 yıl boyunca, halkın kolektif katkısı ve devletin güçlü ekonomik politikaları sayesinde ekonomik büyüme rekoru kırmıştır. Bu rekor, istikrarlı fiyatlar ve göreceli olarak eşit bir gelir dağılımıyla süslenmiştir. Son yıllarda öne çıkan ekonomide </w:t>
      </w:r>
      <w:proofErr w:type="spellStart"/>
      <w:r>
        <w:t>liberalizasyon</w:t>
      </w:r>
      <w:proofErr w:type="spellEnd"/>
      <w:r>
        <w:t xml:space="preserve"> çalışmaları da Tayvan’daki ekonomi politikalarının çatısını oluşturduğundan ve bir nevi ekonomideki bu başarının sırrını ortaya çıkarabileceğinden, ekonomide </w:t>
      </w:r>
      <w:proofErr w:type="spellStart"/>
      <w:r>
        <w:t>liberalizasyon</w:t>
      </w:r>
      <w:proofErr w:type="spellEnd"/>
      <w:r>
        <w:t xml:space="preserve"> çalışmalarına kapsamlı bir şekilde değinmek faydalı olacaktır.</w:t>
      </w:r>
    </w:p>
    <w:p w:rsidR="00A209E1" w:rsidRPr="00A209E1" w:rsidRDefault="00A209E1" w:rsidP="00A209E1">
      <w:pPr>
        <w:pStyle w:val="content-text"/>
        <w:rPr>
          <w:b/>
        </w:rPr>
      </w:pPr>
      <w:r>
        <w:br/>
      </w:r>
      <w:r w:rsidRPr="00A209E1">
        <w:rPr>
          <w:b/>
        </w:rPr>
        <w:t xml:space="preserve">Ekonomide </w:t>
      </w:r>
      <w:proofErr w:type="spellStart"/>
      <w:r w:rsidRPr="00A209E1">
        <w:rPr>
          <w:b/>
        </w:rPr>
        <w:t>Liberalizasyon</w:t>
      </w:r>
      <w:proofErr w:type="spellEnd"/>
      <w:r w:rsidRPr="00A209E1">
        <w:rPr>
          <w:b/>
        </w:rPr>
        <w:t xml:space="preserve"> Çalışmaları</w:t>
      </w:r>
    </w:p>
    <w:p w:rsidR="00A209E1" w:rsidRDefault="00A209E1" w:rsidP="00A209E1">
      <w:pPr>
        <w:pStyle w:val="content-text"/>
        <w:jc w:val="both"/>
      </w:pPr>
      <w:r>
        <w:t xml:space="preserve">Küçük ve orta ölçekli işletmelerin başarılı olmasını sağlayacak koşulları yaratmak üzere Tayvan hükümeti, politikalarını özellikle 3 konu üzerinde yoğunlaştırmıştır. Bunlar; yeni işletmelerin kurulmasını teşvik etmek, altyapıyı geliştirmek ve bebek endüstrileri korumaktır. Bu yönde ilk önemli adım, yatırımları teşvik amacıyla, yeni kurulan firmalara vergi indirimi sağlanması olmuştur. Ayrıca hükümet ihracatı arttırmak için 1960'lı yılların ortasında </w:t>
      </w:r>
      <w:proofErr w:type="spellStart"/>
      <w:r>
        <w:t>Kaohsiung</w:t>
      </w:r>
      <w:proofErr w:type="spellEnd"/>
      <w:r>
        <w:t xml:space="preserve"> Şehri'nde, dünyanın ilk ihracat serbest bölgesini(</w:t>
      </w:r>
      <w:proofErr w:type="spellStart"/>
      <w:r>
        <w:t>export</w:t>
      </w:r>
      <w:proofErr w:type="spellEnd"/>
      <w:r>
        <w:t xml:space="preserve"> </w:t>
      </w:r>
      <w:proofErr w:type="spellStart"/>
      <w:r>
        <w:t>processing</w:t>
      </w:r>
      <w:proofErr w:type="spellEnd"/>
      <w:r>
        <w:t xml:space="preserve"> </w:t>
      </w:r>
      <w:proofErr w:type="spellStart"/>
      <w:r>
        <w:t>zone</w:t>
      </w:r>
      <w:proofErr w:type="spellEnd"/>
      <w:r>
        <w:t>) açmıştır. Yine aynı amaçlarla 1970 ve 1980'li yıllarda yoğun altyapı yatırımları yapılmıştır.</w:t>
      </w:r>
      <w:r>
        <w:br/>
        <w:t xml:space="preserve">1990 yılında hükümet, Tayvan'ı çok uluslu faaliyetler için bir "Asya-Pasifik Bölgesel </w:t>
      </w:r>
      <w:proofErr w:type="gramStart"/>
      <w:r>
        <w:t>Harekatlar</w:t>
      </w:r>
      <w:proofErr w:type="gramEnd"/>
      <w:r>
        <w:t xml:space="preserve"> Merkezi" (</w:t>
      </w:r>
      <w:proofErr w:type="spellStart"/>
      <w:r>
        <w:t>Asia-Pasific</w:t>
      </w:r>
      <w:proofErr w:type="spellEnd"/>
      <w:r>
        <w:t xml:space="preserve"> </w:t>
      </w:r>
      <w:proofErr w:type="spellStart"/>
      <w:r>
        <w:t>Regional</w:t>
      </w:r>
      <w:proofErr w:type="spellEnd"/>
      <w:r>
        <w:t xml:space="preserve"> Operations Center-APROC) haline getirmeyi planladığını açıklamıştır. Başlangıç itibarıyla APROC, Tayvan'ı imalat, telekomünikasyon, hava ve deniz taşımacılığı, finansal hizmetler ve medya alanlarında bölgesel bir merkez haline getirmeyi amaçlamıştır. Ancak bu plan çok eleştirilmiş ve 1997 yılının ikinci çeyreğinde hükümet, öncelikle ülkenin imalat ve </w:t>
      </w:r>
      <w:proofErr w:type="spellStart"/>
      <w:r>
        <w:t>telekom</w:t>
      </w:r>
      <w:proofErr w:type="spellEnd"/>
      <w:r>
        <w:t xml:space="preserve"> alanlarında sahip olduğu çekiciliğinin arttırılması konusunda </w:t>
      </w:r>
      <w:proofErr w:type="spellStart"/>
      <w:r>
        <w:t>yoğunlaşılacağını</w:t>
      </w:r>
      <w:proofErr w:type="spellEnd"/>
      <w:r>
        <w:t xml:space="preserve"> açıklamak durumunda kalmıştır.</w:t>
      </w:r>
      <w:r>
        <w:br/>
        <w:t xml:space="preserve">Tayvan hükümeti, geleneksel olarak çok uluslu yabancı şirketlerin Tayvan'daki doğrudan yatırımları üzerinde sıkı kontrol uygulamış ve ancak stratejik açıdan yararlı olan ve yüksek teknoloji transferi </w:t>
      </w:r>
      <w:proofErr w:type="spellStart"/>
      <w:r>
        <w:t>vaadeden</w:t>
      </w:r>
      <w:proofErr w:type="spellEnd"/>
      <w:r>
        <w:t xml:space="preserve"> şirketleri teşvik etmiştir. Bu korumacı eğilim, enerji gibi bazı sektörlerde sürmekle beraber, bazı </w:t>
      </w:r>
      <w:proofErr w:type="spellStart"/>
      <w:r>
        <w:t>telekom</w:t>
      </w:r>
      <w:proofErr w:type="spellEnd"/>
      <w:r>
        <w:t xml:space="preserve"> sektörlerine yabancı yatırımcıların girişi 1996 yılı ortalarından bu yana kolaylaştırılmıştır.</w:t>
      </w:r>
      <w:r>
        <w:br/>
        <w:t xml:space="preserve">Tayvan'ı ekonomik </w:t>
      </w:r>
      <w:proofErr w:type="spellStart"/>
      <w:r>
        <w:t>liberalizasyonunu</w:t>
      </w:r>
      <w:proofErr w:type="spellEnd"/>
      <w:r>
        <w:t xml:space="preserve"> hızlandırması yönünde zorlayan önemli bir nedenlerden birisi, ülkenin Dünya Ticaret Örgütü'ne (DTÖ) yapmış olduğu üyelik başvurusudur. DTÖ'ye üye olmak için gerekli koşulları karşılamak üzere bazı sektörlere giriş serbestleştirilmiştir. 1994 yılından bu yana, yabancı </w:t>
      </w:r>
      <w:proofErr w:type="gramStart"/>
      <w:r>
        <w:t>portföy</w:t>
      </w:r>
      <w:proofErr w:type="gramEnd"/>
      <w:r>
        <w:t xml:space="preserve"> yatırımcıları için ülke piyasasına giriş çok kolaylaşmış ve 1997 yılının Mart ayında da emlak sektörü yabancılara açılmıştır. 1999'da yabancı yatırımcıların Tayvan'daki azami ortaklık payları oranı %50'ye çıkarılmış, DTÖ'ye girişten sonra bu sınırlamanın da kalkacağı belirtilmiştir. 2002 yılı Ocak ayında Tayvan'ın DTÖ üyeliğine kabul edilmesi neticesinde ekonominin dış rekabete açılması hızlandırılmıştır.</w:t>
      </w:r>
      <w:r>
        <w:br/>
        <w:t xml:space="preserve">Aralık 1996’da gerçekleştirilen "Ulusal Kalkınma Konferansı" sonunda, özelleştirilmeye hız verilmesi ve 2002 yılına kadar devletin elinde bulunan önemli şirketlerin satılması kararlaştırılmıştır. Ancak patlak veren Asya Krizi'nin ardından, Merkez Bankası, Tayvan'ın mali </w:t>
      </w:r>
      <w:proofErr w:type="spellStart"/>
      <w:r>
        <w:t>liberalizasyon</w:t>
      </w:r>
      <w:proofErr w:type="spellEnd"/>
      <w:r>
        <w:t xml:space="preserve"> çalışmalarının yavaşlatılacağını açıklamıştır. Fakat 2008 Küresel Ekonomik Krizi’nin ardından yatırımları kaçırmamak adına tekrar </w:t>
      </w:r>
      <w:proofErr w:type="spellStart"/>
      <w:r>
        <w:t>liberalizasyona</w:t>
      </w:r>
      <w:proofErr w:type="spellEnd"/>
      <w:r>
        <w:t xml:space="preserve"> katkı sağlayacak önlemler alınmıştır. Tayvan hükümeti aldığı karar ile imalat sanayinin belirli sektörlerinde ve teknolojik hizmet endüstrilerinde yeni yatırımlara tanınan 5 yıllık vergi muafiyetinin kapsamını genişletme kararı almıştır. Öncesinde vergi muafiyeti yalnızca yatırımdan elde edilen gelir ile sınırlı iken, yeni düzenleme ile vergi muafiyetinin limiti </w:t>
      </w:r>
      <w:r>
        <w:lastRenderedPageBreak/>
        <w:t>toplam yatırım tutarı ile sınırlandırılmıştır. Söz konusu düzenleme, yatırımların teşvik edilmesi ve Tayvan ekonomisinin hızla iyileşmesini sağlamaya yönelik alınan bir dizi tedbirin parçası olarak tanımlanmıştır.</w:t>
      </w:r>
    </w:p>
    <w:p w:rsidR="00A209E1" w:rsidRDefault="00A209E1" w:rsidP="00A209E1">
      <w:pPr>
        <w:pStyle w:val="content-text"/>
        <w:jc w:val="both"/>
      </w:pPr>
      <w:r>
        <w:t>2008 yılında seçilen yeni hükümetin tıpkı eski hükümet gibi Çin’le ilişkileri geliştirme çabaları devam etmiştir. Ekonomik İşbirliği Çerçeve Anlaşması (</w:t>
      </w:r>
      <w:proofErr w:type="spellStart"/>
      <w:r>
        <w:t>Economic</w:t>
      </w:r>
      <w:proofErr w:type="spellEnd"/>
      <w:r>
        <w:t xml:space="preserve"> </w:t>
      </w:r>
      <w:proofErr w:type="spellStart"/>
      <w:r>
        <w:t>Cooperation</w:t>
      </w:r>
      <w:proofErr w:type="spellEnd"/>
      <w:r>
        <w:t xml:space="preserve"> Framework </w:t>
      </w:r>
      <w:proofErr w:type="spellStart"/>
      <w:r>
        <w:t>Agreement</w:t>
      </w:r>
      <w:proofErr w:type="spellEnd"/>
      <w:r>
        <w:t>-ECFA) kapsamında yeni anlaşmalar yapılıp hem Çin’le ilişkiler geliştirilmiş, hem de asıl amaç olan yeni Serbest Ticaret Anlaşmaları (FTA) konusunda Tayvan’ın avantajlı konuma gelmesi sağlanmaya çalışılmıştır.</w:t>
      </w:r>
    </w:p>
    <w:p w:rsidR="00A209E1" w:rsidRDefault="00A209E1" w:rsidP="00A209E1">
      <w:pPr>
        <w:pStyle w:val="content-text"/>
        <w:jc w:val="both"/>
      </w:pPr>
      <w:r>
        <w:t>Kısacası son yıllarda, tarifeler ve diğer ticaret engelleri keskin bir şekilde gücünü yitirmektedir. Devlet, finans sektörünün liberalleşmesine her geçen gün daha da fazla izin vermektedir. Dış ekonomik ilişkiler daha da fazla geliştirilmeye çalışılmaktadır. Bankalarda yabancı yatırımlara izin verilmeye ve sermaye kontrolleri azaltılmaya başlanmıştır. Özelleştirmeler artmıştır, ancak devlet bu konuda gücün büyük çoğunluğunu elinde tutmaya devam etmektedir.</w:t>
      </w:r>
      <w:r>
        <w:br/>
        <w:t> </w:t>
      </w:r>
    </w:p>
    <w:p w:rsidR="00A209E1" w:rsidRDefault="00A209E1" w:rsidP="00A209E1">
      <w:pPr>
        <w:pStyle w:val="Balk4"/>
      </w:pPr>
      <w:r>
        <w:t>Ekonomik Performans</w:t>
      </w:r>
    </w:p>
    <w:p w:rsidR="00A209E1" w:rsidRDefault="00A209E1" w:rsidP="00A209E1">
      <w:pPr>
        <w:pStyle w:val="NormalWeb"/>
        <w:jc w:val="both"/>
      </w:pPr>
      <w:r>
        <w:t>1949 yılından önce, özellikle şeker ve pirince dayalı tarım temelli bir ekonomiye sahip olan ülke, Kore Savaşı nedeniyle ABD'den gelen büyük miktardaki yardımlar ve yapılan arazi reformları sayesinde elde edilen tarımsal üretim fazlasını, sanayileşme amacıyla kullanmıştır.</w:t>
      </w:r>
    </w:p>
    <w:p w:rsidR="00A209E1" w:rsidRDefault="00A209E1" w:rsidP="00A209E1">
      <w:pPr>
        <w:pStyle w:val="NormalWeb"/>
        <w:jc w:val="both"/>
      </w:pPr>
      <w:r>
        <w:t xml:space="preserve">Böylece 1952-1960 yılları arasında endüstriyel üretim yaklaşık % 240 yükselmiş ve sürdürülen ihracata yönelik sanayileşme programları başarı sağlamıştır. 1970’lerde ise devlet ağır sanayi ve kimyasallar üzerinde yoğunlaşınca ekonomik büyüme daha da büyük oranlarda petrol krizine rağmen devam etti. 1980'li yılların başında dünya piyasalarında rekabete </w:t>
      </w:r>
      <w:proofErr w:type="gramStart"/>
      <w:r>
        <w:t>imkan</w:t>
      </w:r>
      <w:proofErr w:type="gramEnd"/>
      <w:r>
        <w:t xml:space="preserve"> verecek şekilde ucuz, düşük katma değerli ve emek yoğun tüketim mallarının kitle üretiminde zorluklarla karşılaşıldığından, bunun üzerine başta elektrikli ürünler ve kimyasallar olmak üzere, sermaye ve teknoloji yoğun endüstrilerde üretime yönelme olmuştur.</w:t>
      </w:r>
    </w:p>
    <w:p w:rsidR="00A209E1" w:rsidRDefault="00A209E1" w:rsidP="00A209E1">
      <w:pPr>
        <w:pStyle w:val="NormalWeb"/>
        <w:jc w:val="both"/>
      </w:pPr>
      <w:r>
        <w:t>1990'larda birçok emek-yoğun üretim yapan Tayvan firması, üretim merkezlerini ucuz işgücünün olduğu Çin'e kaydırmıştır. 1990 yılından bu yana, Çin’deki Tayvan kaynaklı yatırımların 100 milyar doları geçtiği düşünülmektedir. 2013 yılında ise Tayvan dışında yapılan yatırımların %70’nin Çin’e yapıldığı kaydedilmiştir.</w:t>
      </w:r>
    </w:p>
    <w:p w:rsidR="00A209E1" w:rsidRDefault="00A209E1" w:rsidP="00A209E1">
      <w:pPr>
        <w:pStyle w:val="Balk4"/>
      </w:pPr>
      <w:r>
        <w:t>Tablo: Ekonomide Geleceğe Yönelik Beklentiler</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42"/>
        <w:gridCol w:w="1192"/>
        <w:gridCol w:w="1192"/>
        <w:gridCol w:w="1192"/>
        <w:gridCol w:w="1192"/>
        <w:gridCol w:w="1192"/>
      </w:tblGrid>
      <w:tr w:rsidR="00A209E1" w:rsidTr="00A209E1">
        <w:trPr>
          <w:trHeight w:val="285"/>
          <w:tblCellSpacing w:w="0" w:type="dxa"/>
        </w:trPr>
        <w:tc>
          <w:tcPr>
            <w:tcW w:w="3142"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 </w:t>
            </w:r>
          </w:p>
        </w:tc>
        <w:tc>
          <w:tcPr>
            <w:tcW w:w="1192"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rPr>
                <w:rStyle w:val="Vurgu"/>
                <w:b/>
                <w:bCs/>
              </w:rPr>
              <w:t>2013</w:t>
            </w:r>
          </w:p>
        </w:tc>
        <w:tc>
          <w:tcPr>
            <w:tcW w:w="1192"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rPr>
                <w:rStyle w:val="Vurgu"/>
                <w:b/>
                <w:bCs/>
              </w:rPr>
              <w:t>2014</w:t>
            </w:r>
          </w:p>
        </w:tc>
        <w:tc>
          <w:tcPr>
            <w:tcW w:w="1192"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rPr>
                <w:rStyle w:val="Vurgu"/>
                <w:b/>
                <w:bCs/>
              </w:rPr>
              <w:t>2015</w:t>
            </w:r>
          </w:p>
        </w:tc>
        <w:tc>
          <w:tcPr>
            <w:tcW w:w="1192"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rPr>
                <w:rStyle w:val="Vurgu"/>
                <w:b/>
                <w:bCs/>
              </w:rPr>
              <w:t>2016</w:t>
            </w:r>
          </w:p>
        </w:tc>
        <w:tc>
          <w:tcPr>
            <w:tcW w:w="1192"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rPr>
                <w:rStyle w:val="Vurgu"/>
                <w:b/>
                <w:bCs/>
              </w:rPr>
              <w:t>2017</w:t>
            </w:r>
          </w:p>
        </w:tc>
      </w:tr>
      <w:tr w:rsidR="00A209E1" w:rsidTr="00A209E1">
        <w:trPr>
          <w:trHeight w:val="105"/>
          <w:tblCellSpacing w:w="0" w:type="dxa"/>
        </w:trPr>
        <w:tc>
          <w:tcPr>
            <w:tcW w:w="3142"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spacing w:line="105" w:lineRule="atLeast"/>
            </w:pPr>
            <w:r>
              <w:rPr>
                <w:rStyle w:val="Vurgu"/>
                <w:b/>
                <w:bCs/>
              </w:rPr>
              <w:t>GSYİH (milyar $)</w:t>
            </w:r>
          </w:p>
        </w:tc>
        <w:tc>
          <w:tcPr>
            <w:tcW w:w="1192"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spacing w:line="105" w:lineRule="atLeast"/>
              <w:jc w:val="center"/>
            </w:pPr>
            <w:r>
              <w:t>511,3</w:t>
            </w:r>
          </w:p>
        </w:tc>
        <w:tc>
          <w:tcPr>
            <w:tcW w:w="1192"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spacing w:line="105" w:lineRule="atLeast"/>
              <w:jc w:val="center"/>
            </w:pPr>
            <w:r>
              <w:t>529,6</w:t>
            </w:r>
          </w:p>
        </w:tc>
        <w:tc>
          <w:tcPr>
            <w:tcW w:w="1192"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spacing w:line="105" w:lineRule="atLeast"/>
              <w:jc w:val="center"/>
            </w:pPr>
            <w:r>
              <w:t>527,8</w:t>
            </w:r>
          </w:p>
        </w:tc>
        <w:tc>
          <w:tcPr>
            <w:tcW w:w="1192"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spacing w:line="105" w:lineRule="atLeast"/>
              <w:jc w:val="center"/>
            </w:pPr>
            <w:r>
              <w:t>566,3</w:t>
            </w:r>
          </w:p>
        </w:tc>
        <w:tc>
          <w:tcPr>
            <w:tcW w:w="1192"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spacing w:line="105" w:lineRule="atLeast"/>
              <w:jc w:val="center"/>
            </w:pPr>
            <w:r>
              <w:t>611,9</w:t>
            </w:r>
          </w:p>
        </w:tc>
      </w:tr>
      <w:tr w:rsidR="00A209E1" w:rsidTr="00A209E1">
        <w:trPr>
          <w:trHeight w:val="285"/>
          <w:tblCellSpacing w:w="0" w:type="dxa"/>
        </w:trPr>
        <w:tc>
          <w:tcPr>
            <w:tcW w:w="3142"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rPr>
                <w:rStyle w:val="Vurgu"/>
                <w:b/>
                <w:bCs/>
              </w:rPr>
              <w:t>Reel GSYİH Değişimi (%)</w:t>
            </w:r>
          </w:p>
        </w:tc>
        <w:tc>
          <w:tcPr>
            <w:tcW w:w="1192"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2,2</w:t>
            </w:r>
          </w:p>
        </w:tc>
        <w:tc>
          <w:tcPr>
            <w:tcW w:w="1192"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3,7</w:t>
            </w:r>
          </w:p>
        </w:tc>
        <w:tc>
          <w:tcPr>
            <w:tcW w:w="1192"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3,8</w:t>
            </w:r>
          </w:p>
        </w:tc>
        <w:tc>
          <w:tcPr>
            <w:tcW w:w="1192"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4,1</w:t>
            </w:r>
          </w:p>
        </w:tc>
        <w:tc>
          <w:tcPr>
            <w:tcW w:w="1192"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4,1</w:t>
            </w:r>
          </w:p>
        </w:tc>
      </w:tr>
      <w:tr w:rsidR="00A209E1" w:rsidTr="00A209E1">
        <w:trPr>
          <w:trHeight w:val="270"/>
          <w:tblCellSpacing w:w="0" w:type="dxa"/>
        </w:trPr>
        <w:tc>
          <w:tcPr>
            <w:tcW w:w="3142"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rPr>
                <w:rStyle w:val="Vurgu"/>
                <w:b/>
                <w:bCs/>
              </w:rPr>
              <w:t>Kişi Başına GSYİH ($)</w:t>
            </w:r>
          </w:p>
        </w:tc>
        <w:tc>
          <w:tcPr>
            <w:tcW w:w="1192"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21.874</w:t>
            </w:r>
          </w:p>
        </w:tc>
        <w:tc>
          <w:tcPr>
            <w:tcW w:w="1192"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22.597</w:t>
            </w:r>
          </w:p>
        </w:tc>
        <w:tc>
          <w:tcPr>
            <w:tcW w:w="1192"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22.464</w:t>
            </w:r>
          </w:p>
        </w:tc>
        <w:tc>
          <w:tcPr>
            <w:tcW w:w="1192"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54.042</w:t>
            </w:r>
          </w:p>
        </w:tc>
        <w:tc>
          <w:tcPr>
            <w:tcW w:w="1192"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25.909</w:t>
            </w:r>
          </w:p>
        </w:tc>
      </w:tr>
      <w:tr w:rsidR="00A209E1" w:rsidTr="00A209E1">
        <w:trPr>
          <w:trHeight w:val="270"/>
          <w:tblCellSpacing w:w="0" w:type="dxa"/>
        </w:trPr>
        <w:tc>
          <w:tcPr>
            <w:tcW w:w="3142"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rPr>
                <w:rStyle w:val="Vurgu"/>
                <w:b/>
                <w:bCs/>
              </w:rPr>
              <w:t>Kişi Başına GSYİH (</w:t>
            </w:r>
            <w:proofErr w:type="spellStart"/>
            <w:r>
              <w:rPr>
                <w:rStyle w:val="Vurgu"/>
                <w:b/>
                <w:bCs/>
              </w:rPr>
              <w:t>sagp</w:t>
            </w:r>
            <w:proofErr w:type="spellEnd"/>
            <w:r>
              <w:rPr>
                <w:rStyle w:val="Vurgu"/>
                <w:b/>
                <w:bCs/>
              </w:rPr>
              <w:t xml:space="preserve"> $)</w:t>
            </w:r>
          </w:p>
        </w:tc>
        <w:tc>
          <w:tcPr>
            <w:tcW w:w="1192"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43.677</w:t>
            </w:r>
          </w:p>
        </w:tc>
        <w:tc>
          <w:tcPr>
            <w:tcW w:w="1192"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45.853</w:t>
            </w:r>
          </w:p>
        </w:tc>
        <w:tc>
          <w:tcPr>
            <w:tcW w:w="1192"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47.898</w:t>
            </w:r>
          </w:p>
        </w:tc>
        <w:tc>
          <w:tcPr>
            <w:tcW w:w="1192"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50.463</w:t>
            </w:r>
          </w:p>
        </w:tc>
        <w:tc>
          <w:tcPr>
            <w:tcW w:w="1192"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53.478</w:t>
            </w:r>
          </w:p>
        </w:tc>
      </w:tr>
      <w:tr w:rsidR="00A209E1" w:rsidTr="00A209E1">
        <w:trPr>
          <w:trHeight w:val="270"/>
          <w:tblCellSpacing w:w="0" w:type="dxa"/>
        </w:trPr>
        <w:tc>
          <w:tcPr>
            <w:tcW w:w="3142"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rPr>
                <w:rStyle w:val="Vurgu"/>
                <w:b/>
                <w:bCs/>
              </w:rPr>
              <w:t>TÜFE (%)</w:t>
            </w:r>
          </w:p>
        </w:tc>
        <w:tc>
          <w:tcPr>
            <w:tcW w:w="1192"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0,34</w:t>
            </w:r>
          </w:p>
        </w:tc>
        <w:tc>
          <w:tcPr>
            <w:tcW w:w="1192"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0,60</w:t>
            </w:r>
          </w:p>
        </w:tc>
        <w:tc>
          <w:tcPr>
            <w:tcW w:w="1192"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1,29</w:t>
            </w:r>
          </w:p>
        </w:tc>
        <w:tc>
          <w:tcPr>
            <w:tcW w:w="1192"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1,40</w:t>
            </w:r>
          </w:p>
        </w:tc>
        <w:tc>
          <w:tcPr>
            <w:tcW w:w="1192"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1,50</w:t>
            </w:r>
          </w:p>
        </w:tc>
      </w:tr>
      <w:tr w:rsidR="00A209E1" w:rsidTr="00A209E1">
        <w:trPr>
          <w:trHeight w:val="285"/>
          <w:tblCellSpacing w:w="0" w:type="dxa"/>
        </w:trPr>
        <w:tc>
          <w:tcPr>
            <w:tcW w:w="3142"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rPr>
                <w:rStyle w:val="Vurgu"/>
                <w:b/>
                <w:bCs/>
              </w:rPr>
              <w:t>İşsizlik (%)</w:t>
            </w:r>
          </w:p>
        </w:tc>
        <w:tc>
          <w:tcPr>
            <w:tcW w:w="1192"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4,18</w:t>
            </w:r>
          </w:p>
        </w:tc>
        <w:tc>
          <w:tcPr>
            <w:tcW w:w="1192"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3,96</w:t>
            </w:r>
          </w:p>
        </w:tc>
        <w:tc>
          <w:tcPr>
            <w:tcW w:w="1192"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3,96</w:t>
            </w:r>
          </w:p>
        </w:tc>
        <w:tc>
          <w:tcPr>
            <w:tcW w:w="1192"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3,96</w:t>
            </w:r>
          </w:p>
        </w:tc>
        <w:tc>
          <w:tcPr>
            <w:tcW w:w="1192"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3,96</w:t>
            </w:r>
          </w:p>
        </w:tc>
      </w:tr>
    </w:tbl>
    <w:p w:rsidR="00705DD6" w:rsidRDefault="00705DD6" w:rsidP="00A209E1">
      <w:pPr>
        <w:pStyle w:val="Balk2"/>
      </w:pPr>
    </w:p>
    <w:p w:rsidR="00A209E1" w:rsidRDefault="00A209E1" w:rsidP="00A209E1">
      <w:pPr>
        <w:pStyle w:val="Balk2"/>
      </w:pPr>
      <w:r>
        <w:lastRenderedPageBreak/>
        <w:t>Dış Ticaret</w:t>
      </w:r>
    </w:p>
    <w:p w:rsidR="00A209E1" w:rsidRDefault="00A209E1" w:rsidP="00A209E1">
      <w:pPr>
        <w:pStyle w:val="Balk4"/>
      </w:pPr>
      <w:r>
        <w:t>Genel Durum</w:t>
      </w:r>
    </w:p>
    <w:p w:rsidR="00A209E1" w:rsidRDefault="00A209E1" w:rsidP="00A209E1">
      <w:pPr>
        <w:pStyle w:val="content-text"/>
        <w:jc w:val="both"/>
      </w:pPr>
      <w:r>
        <w:t>Doğal kaynakları göreli olarak sınırlı olan Tayvan, hammadde ve ara mal ithal ederek nihai mal ihraç etme stratejisinde uzmanlaşmıştır. Bundan dolayı hem ithalatı hem de ihracatı büyük rakamlara ulaşmıştır.  2014 yılında ihracat 313,2 milyar $, ithalat ise 273,8 milyar $ olarak gerçekleşmiştir. Birkaç yıl öncesine kadar Tayvan'ın dış ticaretinde ABD ve Japonya en önemli ülkeler olmakla birlikte son yıllarda Çin bu iki ülkeyi geçmeye başlamıştır. Bu üç ülkenin ekonomilerindeki gelişmeler doğrudan Tayvan'ın dış ticaretini etkilemektedir.</w:t>
      </w:r>
    </w:p>
    <w:p w:rsidR="00A209E1" w:rsidRDefault="00A209E1" w:rsidP="00A209E1">
      <w:pPr>
        <w:pStyle w:val="Balk4"/>
      </w:pPr>
      <w:r>
        <w:t> </w:t>
      </w:r>
    </w:p>
    <w:p w:rsidR="00A209E1" w:rsidRDefault="00A209E1" w:rsidP="00A209E1">
      <w:pPr>
        <w:pStyle w:val="NormalWeb"/>
      </w:pPr>
      <w:r>
        <w:rPr>
          <w:rStyle w:val="Gl"/>
          <w:sz w:val="27"/>
          <w:szCs w:val="27"/>
        </w:rPr>
        <w:t>Tayvan’ın İhracatı</w:t>
      </w:r>
    </w:p>
    <w:p w:rsidR="00A209E1" w:rsidRDefault="00A209E1" w:rsidP="00A209E1">
      <w:pPr>
        <w:pStyle w:val="NormalWeb"/>
        <w:jc w:val="both"/>
      </w:pPr>
      <w:r>
        <w:t>Çin, Tayvan’ın ihracattaki en büyük pazarıdır. 2014 yılında Çin’e ihracat yaklaşık 82 milyar $ olarak gerçekleşmiştir. Çin, Tayvan’ın özellikle elektronik ürünlerdeki ihracatında önemli bir rol üstlenmektedir. Tayvanlı ihracatçılar Çin’deki ucuz maliyetlerden faydalanmak için Çin’de ürettikleri ürünleri re-</w:t>
      </w:r>
      <w:proofErr w:type="spellStart"/>
      <w:r>
        <w:t>eksport</w:t>
      </w:r>
      <w:proofErr w:type="spellEnd"/>
      <w:r>
        <w:t xml:space="preserve"> yoluyla ABD, AB ülkeleri ve Japonya’ya satmaktadırlar. Çin’in yanı sıra Tayvan’ın önemli miktardaki ihracatı, ABD ve Asya kıtasında başta Hong Kong olmak üzere; Japonya, Singapur ve Güney Kore’ye yönelmiştir. Diğer taraftan Japonya, Çin ve Güney Kore; Tayvan ’</w:t>
      </w:r>
      <w:proofErr w:type="spellStart"/>
      <w:r>
        <w:t>ın</w:t>
      </w:r>
      <w:proofErr w:type="spellEnd"/>
      <w:r>
        <w:t xml:space="preserve"> ithalatında ve karşılıklı ticarette giderek önemi artan ticari ortaklarıdır. ABD ve başta Almanya olmak üzere bazı AB ülkeleri de Tayvan’ın önemli ticari ortakları arasındadır.</w:t>
      </w:r>
    </w:p>
    <w:p w:rsidR="00A209E1" w:rsidRDefault="00A209E1" w:rsidP="00A209E1">
      <w:pPr>
        <w:pStyle w:val="NormalWeb"/>
        <w:jc w:val="both"/>
      </w:pPr>
      <w:r>
        <w:t>Türkiye, 2014 yılında Tayvan’ın ihracat yaptığı ülkeler arasında % 0,5’lik payı ile 22. sıradadır. 2010 ile 2014 yılları arasında Tayvan’ın ihracatında Türkiye’nin payı artış gösterirken, Tayvan’ın ithalatında Türkiye’nin payı ise azalış göstermiştir.</w:t>
      </w:r>
    </w:p>
    <w:p w:rsidR="00A209E1" w:rsidRDefault="00A209E1" w:rsidP="00A209E1">
      <w:pPr>
        <w:pStyle w:val="NormalWeb"/>
        <w:jc w:val="both"/>
      </w:pPr>
      <w:r>
        <w:t>Tayvan'ın ihracatındaki ilk 20 ülke ve bu ülkelerin aldıkları pay, aşağıdaki tabloda verilmiştir.</w:t>
      </w:r>
    </w:p>
    <w:p w:rsidR="00A209E1" w:rsidRDefault="00A209E1" w:rsidP="00A209E1">
      <w:pPr>
        <w:pStyle w:val="NormalWeb"/>
      </w:pPr>
      <w:r>
        <w:t> Tablo: Tayvan'ın Başlıca Ülkeler İtibarı İle İhracatı (Milyon Dolar)</w:t>
      </w:r>
    </w:p>
    <w:tbl>
      <w:tblPr>
        <w:tblW w:w="8460" w:type="dxa"/>
        <w:tblCellSpacing w:w="0" w:type="dxa"/>
        <w:tblBorders>
          <w:top w:val="outset" w:sz="36" w:space="0" w:color="auto"/>
          <w:left w:val="outset" w:sz="36" w:space="0" w:color="auto"/>
          <w:bottom w:val="outset" w:sz="36" w:space="0" w:color="auto"/>
          <w:right w:val="outset" w:sz="36" w:space="0" w:color="auto"/>
        </w:tblBorders>
        <w:tblCellMar>
          <w:left w:w="0" w:type="dxa"/>
          <w:right w:w="0" w:type="dxa"/>
        </w:tblCellMar>
        <w:tblLook w:val="04A0" w:firstRow="1" w:lastRow="0" w:firstColumn="1" w:lastColumn="0" w:noHBand="0" w:noVBand="1"/>
      </w:tblPr>
      <w:tblGrid>
        <w:gridCol w:w="2655"/>
        <w:gridCol w:w="1935"/>
        <w:gridCol w:w="1935"/>
        <w:gridCol w:w="1935"/>
      </w:tblGrid>
      <w:tr w:rsidR="00A209E1" w:rsidTr="00A209E1">
        <w:trPr>
          <w:trHeight w:val="315"/>
          <w:tblCellSpacing w:w="0" w:type="dxa"/>
        </w:trPr>
        <w:tc>
          <w:tcPr>
            <w:tcW w:w="276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rPr>
                <w:rStyle w:val="Gl"/>
              </w:rPr>
              <w:t>ÜLKELER</w:t>
            </w:r>
          </w:p>
        </w:tc>
        <w:tc>
          <w:tcPr>
            <w:tcW w:w="190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rPr>
                <w:rStyle w:val="Gl"/>
              </w:rPr>
              <w:t>2013</w:t>
            </w:r>
          </w:p>
        </w:tc>
        <w:tc>
          <w:tcPr>
            <w:tcW w:w="190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rPr>
                <w:rStyle w:val="Gl"/>
              </w:rPr>
              <w:t>2013</w:t>
            </w:r>
          </w:p>
        </w:tc>
        <w:tc>
          <w:tcPr>
            <w:tcW w:w="190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rPr>
                <w:rStyle w:val="Gl"/>
              </w:rPr>
              <w:t>2014</w:t>
            </w:r>
          </w:p>
        </w:tc>
      </w:tr>
      <w:tr w:rsidR="00A209E1" w:rsidTr="00A209E1">
        <w:trPr>
          <w:trHeight w:val="315"/>
          <w:tblCellSpacing w:w="0" w:type="dxa"/>
        </w:trPr>
        <w:tc>
          <w:tcPr>
            <w:tcW w:w="276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Çin</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80.556,9</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81.325,5</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81.993,8</w:t>
            </w:r>
          </w:p>
        </w:tc>
      </w:tr>
      <w:tr w:rsidR="00A209E1" w:rsidTr="00A209E1">
        <w:trPr>
          <w:trHeight w:val="315"/>
          <w:tblCellSpacing w:w="0" w:type="dxa"/>
        </w:trPr>
        <w:tc>
          <w:tcPr>
            <w:tcW w:w="276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Hong Kong, Çin</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37.857,5</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39.211,8</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42.461,3</w:t>
            </w:r>
          </w:p>
        </w:tc>
      </w:tr>
      <w:tr w:rsidR="00A209E1" w:rsidTr="00A209E1">
        <w:trPr>
          <w:trHeight w:val="315"/>
          <w:tblCellSpacing w:w="0" w:type="dxa"/>
        </w:trPr>
        <w:tc>
          <w:tcPr>
            <w:tcW w:w="276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ABD</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32.985,2</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32.446,3</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34.859,1</w:t>
            </w:r>
          </w:p>
        </w:tc>
      </w:tr>
      <w:tr w:rsidR="00A209E1" w:rsidTr="00A209E1">
        <w:trPr>
          <w:trHeight w:val="315"/>
          <w:tblCellSpacing w:w="0" w:type="dxa"/>
        </w:trPr>
        <w:tc>
          <w:tcPr>
            <w:tcW w:w="276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Singapur</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20.049,7</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19.411,4</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20.505,3</w:t>
            </w:r>
          </w:p>
        </w:tc>
      </w:tr>
      <w:tr w:rsidR="00A209E1" w:rsidTr="00A209E1">
        <w:trPr>
          <w:trHeight w:val="315"/>
          <w:tblCellSpacing w:w="0" w:type="dxa"/>
        </w:trPr>
        <w:tc>
          <w:tcPr>
            <w:tcW w:w="276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Japonya</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18.955,0</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19.114,4</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19.871,4</w:t>
            </w:r>
          </w:p>
        </w:tc>
      </w:tr>
      <w:tr w:rsidR="00A209E1" w:rsidTr="00A209E1">
        <w:trPr>
          <w:trHeight w:val="315"/>
          <w:tblCellSpacing w:w="0" w:type="dxa"/>
        </w:trPr>
        <w:tc>
          <w:tcPr>
            <w:tcW w:w="276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Güney Kore</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11.820,7</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12.010,7</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12.664,3</w:t>
            </w:r>
          </w:p>
        </w:tc>
      </w:tr>
      <w:tr w:rsidR="00A209E1" w:rsidTr="00A209E1">
        <w:trPr>
          <w:trHeight w:val="315"/>
          <w:tblCellSpacing w:w="0" w:type="dxa"/>
        </w:trPr>
        <w:tc>
          <w:tcPr>
            <w:tcW w:w="276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Vietnam</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8.417,2</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8.877,8</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9.964,7</w:t>
            </w:r>
          </w:p>
        </w:tc>
      </w:tr>
      <w:tr w:rsidR="00A209E1" w:rsidTr="00A209E1">
        <w:trPr>
          <w:trHeight w:val="315"/>
          <w:tblCellSpacing w:w="0" w:type="dxa"/>
        </w:trPr>
        <w:tc>
          <w:tcPr>
            <w:tcW w:w="276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Filipinler</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8.855,4</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9.715,5</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9.514,5</w:t>
            </w:r>
          </w:p>
        </w:tc>
      </w:tr>
      <w:tr w:rsidR="00A209E1" w:rsidTr="00A209E1">
        <w:trPr>
          <w:trHeight w:val="315"/>
          <w:tblCellSpacing w:w="0" w:type="dxa"/>
        </w:trPr>
        <w:tc>
          <w:tcPr>
            <w:tcW w:w="276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Malezya</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6.546,1</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8.138,4</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8.602,6</w:t>
            </w:r>
          </w:p>
        </w:tc>
      </w:tr>
      <w:tr w:rsidR="00A209E1" w:rsidTr="00A209E1">
        <w:trPr>
          <w:trHeight w:val="315"/>
          <w:tblCellSpacing w:w="0" w:type="dxa"/>
        </w:trPr>
        <w:tc>
          <w:tcPr>
            <w:tcW w:w="276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Almanya</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5.637,0</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5.593,3</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6.136,0</w:t>
            </w:r>
          </w:p>
        </w:tc>
      </w:tr>
      <w:tr w:rsidR="00A209E1" w:rsidTr="00A209E1">
        <w:trPr>
          <w:trHeight w:val="315"/>
          <w:tblCellSpacing w:w="0" w:type="dxa"/>
        </w:trPr>
        <w:tc>
          <w:tcPr>
            <w:tcW w:w="276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Tayland</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6.556,0</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6.302,2</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6.092,6</w:t>
            </w:r>
          </w:p>
        </w:tc>
      </w:tr>
      <w:tr w:rsidR="00A209E1" w:rsidTr="00A209E1">
        <w:trPr>
          <w:trHeight w:val="315"/>
          <w:tblCellSpacing w:w="0" w:type="dxa"/>
        </w:trPr>
        <w:tc>
          <w:tcPr>
            <w:tcW w:w="276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Hollanda</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4.403,0</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4.418,1</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4.920,0</w:t>
            </w:r>
          </w:p>
        </w:tc>
      </w:tr>
      <w:tr w:rsidR="00A209E1" w:rsidTr="00A209E1">
        <w:trPr>
          <w:trHeight w:val="315"/>
          <w:tblCellSpacing w:w="0" w:type="dxa"/>
        </w:trPr>
        <w:tc>
          <w:tcPr>
            <w:tcW w:w="276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lastRenderedPageBreak/>
              <w:t>İngiltere</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5.052,0</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4.295,2</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4.191,9</w:t>
            </w:r>
          </w:p>
        </w:tc>
      </w:tr>
      <w:tr w:rsidR="00A209E1" w:rsidTr="00A209E1">
        <w:trPr>
          <w:trHeight w:val="315"/>
          <w:tblCellSpacing w:w="0" w:type="dxa"/>
        </w:trPr>
        <w:tc>
          <w:tcPr>
            <w:tcW w:w="276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Endonezya</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5.179,4</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5.117,7</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3.828,0</w:t>
            </w:r>
          </w:p>
        </w:tc>
      </w:tr>
      <w:tr w:rsidR="00A209E1" w:rsidTr="00A209E1">
        <w:trPr>
          <w:trHeight w:val="315"/>
          <w:tblCellSpacing w:w="0" w:type="dxa"/>
        </w:trPr>
        <w:tc>
          <w:tcPr>
            <w:tcW w:w="276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Avustralya</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3.648,6</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3.743,1</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3.551,7</w:t>
            </w:r>
          </w:p>
        </w:tc>
      </w:tr>
      <w:tr w:rsidR="00A209E1" w:rsidTr="00A209E1">
        <w:trPr>
          <w:trHeight w:val="315"/>
          <w:tblCellSpacing w:w="0" w:type="dxa"/>
        </w:trPr>
        <w:tc>
          <w:tcPr>
            <w:tcW w:w="276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Hindistan</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3.378,8</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3.404,1</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3.419,4</w:t>
            </w:r>
          </w:p>
        </w:tc>
      </w:tr>
      <w:tr w:rsidR="00A209E1" w:rsidTr="00A209E1">
        <w:trPr>
          <w:trHeight w:val="315"/>
          <w:tblCellSpacing w:w="0" w:type="dxa"/>
        </w:trPr>
        <w:tc>
          <w:tcPr>
            <w:tcW w:w="276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Diğer Bölgeler</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3.248,4</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3.255,3</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3.323,4</w:t>
            </w:r>
          </w:p>
        </w:tc>
      </w:tr>
      <w:tr w:rsidR="00A209E1" w:rsidTr="00A209E1">
        <w:trPr>
          <w:trHeight w:val="315"/>
          <w:tblCellSpacing w:w="0" w:type="dxa"/>
        </w:trPr>
        <w:tc>
          <w:tcPr>
            <w:tcW w:w="276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Kanada</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2.500,3</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2.396,7</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2.439,0</w:t>
            </w:r>
          </w:p>
        </w:tc>
      </w:tr>
      <w:tr w:rsidR="00A209E1" w:rsidTr="00A209E1">
        <w:trPr>
          <w:trHeight w:val="315"/>
          <w:tblCellSpacing w:w="0" w:type="dxa"/>
        </w:trPr>
        <w:tc>
          <w:tcPr>
            <w:tcW w:w="276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Suudi Arabistan</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1.850,5</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1.805,7</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2.022,8</w:t>
            </w:r>
          </w:p>
        </w:tc>
      </w:tr>
      <w:tr w:rsidR="00A209E1" w:rsidTr="00A209E1">
        <w:trPr>
          <w:trHeight w:val="315"/>
          <w:tblCellSpacing w:w="0" w:type="dxa"/>
        </w:trPr>
        <w:tc>
          <w:tcPr>
            <w:tcW w:w="276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Meksika</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1.811,0</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1.776,0</w:t>
            </w:r>
          </w:p>
        </w:tc>
        <w:tc>
          <w:tcPr>
            <w:tcW w:w="190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1.980,3</w:t>
            </w:r>
          </w:p>
        </w:tc>
      </w:tr>
    </w:tbl>
    <w:p w:rsidR="00A209E1" w:rsidRDefault="00A209E1" w:rsidP="00A209E1">
      <w:pPr>
        <w:pStyle w:val="NormalWeb"/>
      </w:pPr>
      <w:r>
        <w:t xml:space="preserve">Kaynak: </w:t>
      </w:r>
      <w:proofErr w:type="spellStart"/>
      <w:r>
        <w:t>Trademap</w:t>
      </w:r>
      <w:proofErr w:type="spellEnd"/>
    </w:p>
    <w:p w:rsidR="00A209E1" w:rsidRDefault="00A209E1" w:rsidP="00A209E1">
      <w:pPr>
        <w:pStyle w:val="NormalWeb"/>
        <w:jc w:val="both"/>
      </w:pPr>
      <w:r>
        <w:t>Tayvan’ın ihracatı 2014 yılında %3,1 oranında artış göstermiştir. Yabancı sermayeli şirketlerin önünde engeller bulunan Tayvan’ın bu engelleri önce sektör bazında olmak üzere yavaş yavaş kaldırmaktadır. Telekomünikasyon sektörüne yapılan yabancı yatırımların önündeki engeller kısa süre içinde tamamen kaldırılacaktır. Böylece yabancı sermayeli şirketlerin Tayvan’ın ihracatına gelecekte önemli katkıda bulunması beklenmektedir. </w:t>
      </w:r>
    </w:p>
    <w:p w:rsidR="00A209E1" w:rsidRDefault="00A209E1" w:rsidP="00A209E1">
      <w:pPr>
        <w:pStyle w:val="NormalWeb"/>
        <w:jc w:val="both"/>
      </w:pPr>
      <w:r>
        <w:t>Yerli özel sermayeye sahip şirketlerin ihracat içindeki oranı da giderek artmaktadır. Son yıllarda, özellikle yabancı sermayeli şirketler de üretimde katma değer düzenli bir şekilde artmaktadır. Buna bağlı olarak da otomatik bilgi işlem makineleri gibi katma değeri yüksek ürünlerin ihracatı da artmaktadır.</w:t>
      </w:r>
    </w:p>
    <w:p w:rsidR="00A209E1" w:rsidRPr="00A209E1" w:rsidRDefault="00A209E1" w:rsidP="00A209E1">
      <w:pPr>
        <w:pStyle w:val="NormalWeb"/>
        <w:rPr>
          <w:b/>
        </w:rPr>
      </w:pPr>
      <w:r w:rsidRPr="00A209E1">
        <w:rPr>
          <w:b/>
        </w:rPr>
        <w:t> Tablo: Tayvan’ın İhracatında Başlıca Ürünler (Milyon $)</w:t>
      </w:r>
    </w:p>
    <w:tbl>
      <w:tblPr>
        <w:tblpPr w:leftFromText="45" w:rightFromText="45" w:vertAnchor="text"/>
        <w:tblW w:w="9645" w:type="dxa"/>
        <w:tblCellSpacing w:w="0" w:type="dxa"/>
        <w:tblBorders>
          <w:top w:val="outset" w:sz="36" w:space="0" w:color="auto"/>
          <w:left w:val="outset" w:sz="36" w:space="0" w:color="auto"/>
          <w:bottom w:val="outset" w:sz="36" w:space="0" w:color="auto"/>
          <w:right w:val="outset" w:sz="36" w:space="0" w:color="auto"/>
        </w:tblBorders>
        <w:tblCellMar>
          <w:left w:w="0" w:type="dxa"/>
          <w:right w:w="0" w:type="dxa"/>
        </w:tblCellMar>
        <w:tblLook w:val="04A0" w:firstRow="1" w:lastRow="0" w:firstColumn="1" w:lastColumn="0" w:noHBand="0" w:noVBand="1"/>
      </w:tblPr>
      <w:tblGrid>
        <w:gridCol w:w="644"/>
        <w:gridCol w:w="3736"/>
        <w:gridCol w:w="1755"/>
        <w:gridCol w:w="1755"/>
        <w:gridCol w:w="1755"/>
      </w:tblGrid>
      <w:tr w:rsidR="00A209E1" w:rsidTr="00A209E1">
        <w:trPr>
          <w:trHeight w:val="630"/>
          <w:tblCellSpacing w:w="0" w:type="dxa"/>
        </w:trPr>
        <w:tc>
          <w:tcPr>
            <w:tcW w:w="64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rPr>
                <w:rStyle w:val="Gl"/>
              </w:rPr>
              <w:t>GTİP</w:t>
            </w:r>
          </w:p>
        </w:tc>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rPr>
                <w:rStyle w:val="Gl"/>
              </w:rPr>
              <w:t>ÜRÜNLER</w:t>
            </w:r>
          </w:p>
        </w:tc>
        <w:tc>
          <w:tcPr>
            <w:tcW w:w="172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rPr>
                <w:rStyle w:val="Gl"/>
              </w:rPr>
              <w:t>2012</w:t>
            </w:r>
          </w:p>
        </w:tc>
        <w:tc>
          <w:tcPr>
            <w:tcW w:w="172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rPr>
                <w:rStyle w:val="Gl"/>
              </w:rPr>
              <w:t>2013</w:t>
            </w:r>
          </w:p>
        </w:tc>
        <w:tc>
          <w:tcPr>
            <w:tcW w:w="172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rPr>
                <w:rStyle w:val="Gl"/>
              </w:rPr>
              <w:t>2014</w:t>
            </w:r>
          </w:p>
        </w:tc>
      </w:tr>
      <w:tr w:rsidR="00A209E1" w:rsidTr="00A209E1">
        <w:trPr>
          <w:trHeight w:val="315"/>
          <w:tblCellSpacing w:w="0" w:type="dxa"/>
        </w:trPr>
        <w:tc>
          <w:tcPr>
            <w:tcW w:w="64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8542</w:t>
            </w:r>
          </w:p>
        </w:tc>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Elektronik Entegre Devreler</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57.780,4</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62.480,6</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72.172,0</w:t>
            </w:r>
          </w:p>
        </w:tc>
      </w:tr>
      <w:tr w:rsidR="00A209E1" w:rsidTr="00A209E1">
        <w:trPr>
          <w:trHeight w:val="630"/>
          <w:tblCellSpacing w:w="0" w:type="dxa"/>
        </w:trPr>
        <w:tc>
          <w:tcPr>
            <w:tcW w:w="64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2710</w:t>
            </w:r>
          </w:p>
        </w:tc>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 xml:space="preserve">Petrol Yağları Ve </w:t>
            </w:r>
            <w:proofErr w:type="spellStart"/>
            <w:r>
              <w:t>Bitumenli</w:t>
            </w:r>
            <w:proofErr w:type="spellEnd"/>
            <w:r>
              <w:t xml:space="preserve"> Minerallerden Elde Edilen Yağlar</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21.004,8</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22.425,7</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19.284,8</w:t>
            </w:r>
          </w:p>
        </w:tc>
      </w:tr>
      <w:tr w:rsidR="00A209E1" w:rsidTr="00A209E1">
        <w:trPr>
          <w:trHeight w:val="630"/>
          <w:tblCellSpacing w:w="0" w:type="dxa"/>
        </w:trPr>
        <w:tc>
          <w:tcPr>
            <w:tcW w:w="64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9013</w:t>
            </w:r>
          </w:p>
        </w:tc>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Sıvı kristalli tertibat, lazerler, diğer optik cihaz ve aletler</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16.729,5</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15.796,2</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13.393,8</w:t>
            </w:r>
          </w:p>
        </w:tc>
      </w:tr>
      <w:tr w:rsidR="00A209E1" w:rsidTr="00A209E1">
        <w:trPr>
          <w:trHeight w:val="630"/>
          <w:tblCellSpacing w:w="0" w:type="dxa"/>
        </w:trPr>
        <w:tc>
          <w:tcPr>
            <w:tcW w:w="64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8541</w:t>
            </w:r>
          </w:p>
        </w:tc>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proofErr w:type="spellStart"/>
            <w:r>
              <w:t>Diotlar</w:t>
            </w:r>
            <w:proofErr w:type="spellEnd"/>
            <w:r>
              <w:t xml:space="preserve">, </w:t>
            </w:r>
            <w:proofErr w:type="spellStart"/>
            <w:r>
              <w:t>Transistorler</w:t>
            </w:r>
            <w:proofErr w:type="spellEnd"/>
            <w:r>
              <w:t xml:space="preserve"> Vb. </w:t>
            </w:r>
            <w:proofErr w:type="spellStart"/>
            <w:proofErr w:type="gramStart"/>
            <w:r>
              <w:t>Yari</w:t>
            </w:r>
            <w:proofErr w:type="spellEnd"/>
            <w:proofErr w:type="gramEnd"/>
            <w:r>
              <w:t xml:space="preserve"> </w:t>
            </w:r>
            <w:proofErr w:type="spellStart"/>
            <w:r>
              <w:t>Iletkenler</w:t>
            </w:r>
            <w:proofErr w:type="spellEnd"/>
            <w:r>
              <w:t xml:space="preserve">, </w:t>
            </w:r>
            <w:proofErr w:type="spellStart"/>
            <w:r>
              <w:t>Piezo</w:t>
            </w:r>
            <w:proofErr w:type="spellEnd"/>
            <w:r>
              <w:t xml:space="preserve"> Elektrik Kristaller</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8.228,9</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8.360,4</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9.309,3</w:t>
            </w:r>
          </w:p>
        </w:tc>
      </w:tr>
      <w:tr w:rsidR="00A209E1" w:rsidTr="00A209E1">
        <w:trPr>
          <w:trHeight w:val="630"/>
          <w:tblCellSpacing w:w="0" w:type="dxa"/>
        </w:trPr>
        <w:tc>
          <w:tcPr>
            <w:tcW w:w="64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8517</w:t>
            </w:r>
          </w:p>
        </w:tc>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Telli Telefon-Telgraf İçin Elektrikli Cihazlar</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10.578,4</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10.199,1</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8.432,9</w:t>
            </w:r>
          </w:p>
        </w:tc>
      </w:tr>
      <w:tr w:rsidR="00A209E1" w:rsidTr="00A209E1">
        <w:trPr>
          <w:trHeight w:val="945"/>
          <w:tblCellSpacing w:w="0" w:type="dxa"/>
        </w:trPr>
        <w:tc>
          <w:tcPr>
            <w:tcW w:w="64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8523</w:t>
            </w:r>
          </w:p>
        </w:tc>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Ses ve Diğer Fenomenleri Kaydetmek İçin Disk, Bant, Kati Hal Kalıcı Depolama Aygıtı</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5.735,2</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4.959,0</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6.604,6</w:t>
            </w:r>
          </w:p>
        </w:tc>
      </w:tr>
      <w:tr w:rsidR="00A209E1" w:rsidTr="00A209E1">
        <w:trPr>
          <w:trHeight w:val="945"/>
          <w:tblCellSpacing w:w="0" w:type="dxa"/>
        </w:trPr>
        <w:tc>
          <w:tcPr>
            <w:tcW w:w="64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8473</w:t>
            </w:r>
          </w:p>
        </w:tc>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Yazı, Hesap, Muhasebe, Bilgi İşlem, Büro İçin Diğer Makine Ve Cihazların Aksamı</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5.209,0</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5.543,9</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6.134,5</w:t>
            </w:r>
          </w:p>
        </w:tc>
      </w:tr>
      <w:tr w:rsidR="00A209E1" w:rsidTr="00A209E1">
        <w:trPr>
          <w:trHeight w:val="315"/>
          <w:tblCellSpacing w:w="0" w:type="dxa"/>
        </w:trPr>
        <w:tc>
          <w:tcPr>
            <w:tcW w:w="64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8534</w:t>
            </w:r>
          </w:p>
        </w:tc>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Baskı devreler</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5.940,8</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5.761,1</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5.804,0</w:t>
            </w:r>
          </w:p>
        </w:tc>
      </w:tr>
      <w:tr w:rsidR="00A209E1" w:rsidTr="00A209E1">
        <w:trPr>
          <w:trHeight w:val="630"/>
          <w:tblCellSpacing w:w="0" w:type="dxa"/>
        </w:trPr>
        <w:tc>
          <w:tcPr>
            <w:tcW w:w="64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lastRenderedPageBreak/>
              <w:t>3907</w:t>
            </w:r>
          </w:p>
        </w:tc>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proofErr w:type="spellStart"/>
            <w:r>
              <w:t>Poliasetaller</w:t>
            </w:r>
            <w:proofErr w:type="spellEnd"/>
            <w:r>
              <w:t xml:space="preserve">, Diğer </w:t>
            </w:r>
            <w:proofErr w:type="spellStart"/>
            <w:r>
              <w:t>Polieterler</w:t>
            </w:r>
            <w:proofErr w:type="spellEnd"/>
            <w:r>
              <w:t xml:space="preserve">, </w:t>
            </w:r>
            <w:proofErr w:type="spellStart"/>
            <w:r>
              <w:t>Epoksit-Alkid</w:t>
            </w:r>
            <w:proofErr w:type="spellEnd"/>
            <w:r>
              <w:t xml:space="preserve"> Reçineler </w:t>
            </w:r>
            <w:proofErr w:type="spellStart"/>
            <w:r>
              <w:t>Vb</w:t>
            </w:r>
            <w:proofErr w:type="spellEnd"/>
            <w:r>
              <w:t xml:space="preserve"> (İlk Şekilde)</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4.124,7</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4.191,2</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4.049,7</w:t>
            </w:r>
          </w:p>
        </w:tc>
      </w:tr>
      <w:tr w:rsidR="00A209E1" w:rsidTr="00A209E1">
        <w:trPr>
          <w:trHeight w:val="630"/>
          <w:tblCellSpacing w:w="0" w:type="dxa"/>
        </w:trPr>
        <w:tc>
          <w:tcPr>
            <w:tcW w:w="64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7318</w:t>
            </w:r>
          </w:p>
        </w:tc>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 xml:space="preserve">Demir/Çelikten </w:t>
            </w:r>
            <w:proofErr w:type="spellStart"/>
            <w:r>
              <w:t>Civata</w:t>
            </w:r>
            <w:proofErr w:type="spellEnd"/>
            <w:r>
              <w:t xml:space="preserve">, Somun, Tavan </w:t>
            </w:r>
            <w:proofErr w:type="spellStart"/>
            <w:r>
              <w:t>Halkasi</w:t>
            </w:r>
            <w:proofErr w:type="spellEnd"/>
            <w:r>
              <w:t>, Vida, Perçin, Pim Vb.</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3.582,0</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3.659,6</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4.046,3</w:t>
            </w:r>
          </w:p>
        </w:tc>
      </w:tr>
      <w:tr w:rsidR="00A209E1" w:rsidTr="00A209E1">
        <w:trPr>
          <w:trHeight w:val="315"/>
          <w:tblCellSpacing w:w="0" w:type="dxa"/>
        </w:trPr>
        <w:tc>
          <w:tcPr>
            <w:tcW w:w="64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8708</w:t>
            </w:r>
          </w:p>
        </w:tc>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 xml:space="preserve">Kara </w:t>
            </w:r>
            <w:proofErr w:type="spellStart"/>
            <w:r>
              <w:t>Tasitlari</w:t>
            </w:r>
            <w:proofErr w:type="spellEnd"/>
            <w:r>
              <w:t xml:space="preserve"> </w:t>
            </w:r>
            <w:proofErr w:type="spellStart"/>
            <w:r>
              <w:t>Icin</w:t>
            </w:r>
            <w:proofErr w:type="spellEnd"/>
            <w:r>
              <w:t xml:space="preserve"> Aksam, </w:t>
            </w:r>
            <w:proofErr w:type="spellStart"/>
            <w:r>
              <w:t>Parcalari</w:t>
            </w:r>
            <w:proofErr w:type="spellEnd"/>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3.660,9</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3.759,0</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3.898,6</w:t>
            </w:r>
          </w:p>
        </w:tc>
      </w:tr>
      <w:tr w:rsidR="00A209E1" w:rsidTr="00A209E1">
        <w:trPr>
          <w:trHeight w:val="630"/>
          <w:tblCellSpacing w:w="0" w:type="dxa"/>
        </w:trPr>
        <w:tc>
          <w:tcPr>
            <w:tcW w:w="64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8471</w:t>
            </w:r>
          </w:p>
        </w:tc>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 xml:space="preserve">Otomatik Bilgi </w:t>
            </w:r>
            <w:proofErr w:type="spellStart"/>
            <w:r>
              <w:t>Islem</w:t>
            </w:r>
            <w:proofErr w:type="spellEnd"/>
            <w:r>
              <w:t xml:space="preserve"> Makineleri, </w:t>
            </w:r>
            <w:proofErr w:type="spellStart"/>
            <w:r>
              <w:t>Uniteleri</w:t>
            </w:r>
            <w:proofErr w:type="spellEnd"/>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3.759,0</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3.424,8</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3.636,5</w:t>
            </w:r>
          </w:p>
        </w:tc>
      </w:tr>
      <w:tr w:rsidR="00A209E1" w:rsidTr="00A209E1">
        <w:trPr>
          <w:trHeight w:val="315"/>
          <w:tblCellSpacing w:w="0" w:type="dxa"/>
        </w:trPr>
        <w:tc>
          <w:tcPr>
            <w:tcW w:w="64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3903</w:t>
            </w:r>
          </w:p>
        </w:tc>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proofErr w:type="spellStart"/>
            <w:r>
              <w:t>Stiren</w:t>
            </w:r>
            <w:proofErr w:type="spellEnd"/>
            <w:r>
              <w:t xml:space="preserve"> polimerleri (ilk şekillerde)</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3.849,4</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3.903,2</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3.602,4</w:t>
            </w:r>
          </w:p>
        </w:tc>
      </w:tr>
      <w:tr w:rsidR="00A209E1" w:rsidTr="00A209E1">
        <w:trPr>
          <w:trHeight w:val="630"/>
          <w:tblCellSpacing w:w="0" w:type="dxa"/>
        </w:trPr>
        <w:tc>
          <w:tcPr>
            <w:tcW w:w="64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8531</w:t>
            </w:r>
          </w:p>
        </w:tc>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Elektrikli ses veya görüntülü işaret cihazları</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3.208,0</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4.054,6</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3.539,4</w:t>
            </w:r>
          </w:p>
        </w:tc>
      </w:tr>
      <w:tr w:rsidR="00A209E1" w:rsidTr="00A209E1">
        <w:trPr>
          <w:trHeight w:val="315"/>
          <w:tblCellSpacing w:w="0" w:type="dxa"/>
        </w:trPr>
        <w:tc>
          <w:tcPr>
            <w:tcW w:w="64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2902</w:t>
            </w:r>
          </w:p>
        </w:tc>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proofErr w:type="gramStart"/>
            <w:r>
              <w:t>Siklik</w:t>
            </w:r>
            <w:proofErr w:type="gramEnd"/>
            <w:r>
              <w:t xml:space="preserve"> Hidrokarbonlar</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1.850,2</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3.536,5</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3.141,1</w:t>
            </w:r>
          </w:p>
        </w:tc>
      </w:tr>
      <w:tr w:rsidR="00A209E1" w:rsidTr="00A209E1">
        <w:trPr>
          <w:trHeight w:val="630"/>
          <w:tblCellSpacing w:w="0" w:type="dxa"/>
        </w:trPr>
        <w:tc>
          <w:tcPr>
            <w:tcW w:w="64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8714</w:t>
            </w:r>
          </w:p>
        </w:tc>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87.11 ila 87.13 Pozisyonlarındaki taşıtların aksam, parça ve aksesuarı</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2.239,4</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1.736,0</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2.426,1</w:t>
            </w:r>
          </w:p>
        </w:tc>
      </w:tr>
      <w:tr w:rsidR="00A209E1" w:rsidTr="00A209E1">
        <w:trPr>
          <w:trHeight w:val="630"/>
          <w:tblCellSpacing w:w="0" w:type="dxa"/>
        </w:trPr>
        <w:tc>
          <w:tcPr>
            <w:tcW w:w="64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7219</w:t>
            </w:r>
          </w:p>
        </w:tc>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 xml:space="preserve">Paslanmaz Çelikten </w:t>
            </w:r>
            <w:proofErr w:type="spellStart"/>
            <w:r>
              <w:t>Yassi</w:t>
            </w:r>
            <w:proofErr w:type="spellEnd"/>
            <w:r>
              <w:t xml:space="preserve"> Hadde Mamulü (600mm Den Geniş)</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2.086,2</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2.073,9</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2.282,3</w:t>
            </w:r>
          </w:p>
        </w:tc>
      </w:tr>
      <w:tr w:rsidR="00A209E1" w:rsidTr="00A209E1">
        <w:trPr>
          <w:trHeight w:val="945"/>
          <w:tblCellSpacing w:w="0" w:type="dxa"/>
        </w:trPr>
        <w:tc>
          <w:tcPr>
            <w:tcW w:w="64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7208</w:t>
            </w:r>
          </w:p>
        </w:tc>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 xml:space="preserve">Demir veya </w:t>
            </w:r>
            <w:proofErr w:type="spellStart"/>
            <w:r>
              <w:t>alaşımsız</w:t>
            </w:r>
            <w:proofErr w:type="spellEnd"/>
            <w:r>
              <w:t xml:space="preserve"> çelikten yassı hadde ürünleri (genişlik &gt;= 600 mm) (sıcak haddelenmiş) (kaplanmamış)</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2.015,7</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2.133,6</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2.235,1</w:t>
            </w:r>
          </w:p>
        </w:tc>
      </w:tr>
      <w:tr w:rsidR="00A209E1" w:rsidTr="00A209E1">
        <w:trPr>
          <w:trHeight w:val="630"/>
          <w:tblCellSpacing w:w="0" w:type="dxa"/>
        </w:trPr>
        <w:tc>
          <w:tcPr>
            <w:tcW w:w="64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9001</w:t>
            </w:r>
          </w:p>
        </w:tc>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 xml:space="preserve">Optik Mamuller (Lif, Demet, Kablo, </w:t>
            </w:r>
            <w:proofErr w:type="spellStart"/>
            <w:r>
              <w:t>Polarizan</w:t>
            </w:r>
            <w:proofErr w:type="spellEnd"/>
            <w:r>
              <w:t xml:space="preserve"> </w:t>
            </w:r>
            <w:proofErr w:type="spellStart"/>
            <w:r>
              <w:t>Esya</w:t>
            </w:r>
            <w:proofErr w:type="spellEnd"/>
            <w:r>
              <w:t xml:space="preserve">, Lens, </w:t>
            </w:r>
            <w:proofErr w:type="spellStart"/>
            <w:r>
              <w:t>Gozluk</w:t>
            </w:r>
            <w:proofErr w:type="spellEnd"/>
            <w:r>
              <w:t>)</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2.199,3</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2.174,9</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2.095,6</w:t>
            </w:r>
          </w:p>
        </w:tc>
      </w:tr>
      <w:tr w:rsidR="00A209E1" w:rsidTr="00A209E1">
        <w:trPr>
          <w:trHeight w:val="945"/>
          <w:tblCellSpacing w:w="0" w:type="dxa"/>
        </w:trPr>
        <w:tc>
          <w:tcPr>
            <w:tcW w:w="64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7210</w:t>
            </w:r>
          </w:p>
        </w:tc>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Demir veya alaşımlı çelikten yassı hadde mamulleri, genişliği 600 mm veya daha fazla olanlar (kaplanmış olanlar)</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2.070,7</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1.894,2</w:t>
            </w:r>
          </w:p>
        </w:tc>
        <w:tc>
          <w:tcPr>
            <w:tcW w:w="172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2.058,0</w:t>
            </w:r>
          </w:p>
        </w:tc>
      </w:tr>
    </w:tbl>
    <w:p w:rsidR="00A209E1" w:rsidRDefault="00A209E1" w:rsidP="00A209E1">
      <w:r>
        <w:t xml:space="preserve">                                                  Kaynak: </w:t>
      </w:r>
      <w:proofErr w:type="spellStart"/>
      <w:r>
        <w:t>Trademap</w:t>
      </w:r>
      <w:proofErr w:type="spellEnd"/>
    </w:p>
    <w:p w:rsidR="00A209E1" w:rsidRDefault="00A209E1" w:rsidP="00A209E1">
      <w:pPr>
        <w:pStyle w:val="NormalWeb"/>
      </w:pPr>
      <w:r>
        <w:rPr>
          <w:rStyle w:val="Gl"/>
        </w:rPr>
        <w:t>Tayvan’ın İthalatı</w:t>
      </w:r>
    </w:p>
    <w:p w:rsidR="00A209E1" w:rsidRDefault="00A209E1" w:rsidP="00A209E1">
      <w:pPr>
        <w:pStyle w:val="NormalWeb"/>
        <w:jc w:val="both"/>
      </w:pPr>
      <w:r>
        <w:t xml:space="preserve">İhracat artışına karşılık pek çok ihraç ürününün ithal girdiler içermesi nedeniyle ithalatta da önemli bir büyüme olmuştur.  Petrol ve maden cevherleri gibi hammaddelerin ithalatında düzenli bir artış eğilimi görülmektedir. </w:t>
      </w:r>
      <w:proofErr w:type="gramStart"/>
      <w:r>
        <w:t>Zira,</w:t>
      </w:r>
      <w:proofErr w:type="gramEnd"/>
      <w:r>
        <w:t xml:space="preserve"> yerli üretim artık ihtiyacı karşılamaktan uzaktır. Tayvan’da hasadın kötü olduğu yıllarda mısır, soya fasulyesi gibi temel gıdaların ithalatında da artışlar görülmektedir. Bu ihtiyacın görülmesinde tarımla uğraşan Tayvan nüfusunun üretimde katma değeri yüksek olan organik gıda ve çiçek gibi ürünlere yönelmesinin büyük etkisi vardır. </w:t>
      </w:r>
    </w:p>
    <w:p w:rsidR="00A209E1" w:rsidRDefault="00A209E1" w:rsidP="00A209E1">
      <w:pPr>
        <w:pStyle w:val="NormalWeb"/>
      </w:pPr>
      <w:r>
        <w:t>Tablo: Tayvan'ın İthalatında Başlıca Ürünler (Milyar $)</w:t>
      </w:r>
    </w:p>
    <w:tbl>
      <w:tblPr>
        <w:tblW w:w="9735" w:type="dxa"/>
        <w:tblCellSpacing w:w="0" w:type="dxa"/>
        <w:tblBorders>
          <w:top w:val="outset" w:sz="36" w:space="0" w:color="auto"/>
          <w:left w:val="outset" w:sz="36" w:space="0" w:color="auto"/>
          <w:bottom w:val="outset" w:sz="36" w:space="0" w:color="auto"/>
          <w:right w:val="outset" w:sz="36" w:space="0" w:color="auto"/>
        </w:tblBorders>
        <w:tblCellMar>
          <w:left w:w="0" w:type="dxa"/>
          <w:right w:w="0" w:type="dxa"/>
        </w:tblCellMar>
        <w:tblLook w:val="04A0" w:firstRow="1" w:lastRow="0" w:firstColumn="1" w:lastColumn="0" w:noHBand="0" w:noVBand="1"/>
      </w:tblPr>
      <w:tblGrid>
        <w:gridCol w:w="672"/>
        <w:gridCol w:w="3753"/>
        <w:gridCol w:w="1770"/>
        <w:gridCol w:w="1770"/>
        <w:gridCol w:w="1770"/>
      </w:tblGrid>
      <w:tr w:rsidR="00A209E1" w:rsidTr="00A209E1">
        <w:trPr>
          <w:trHeight w:val="31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rPr>
                <w:rStyle w:val="Gl"/>
              </w:rPr>
              <w:t>GTİP</w:t>
            </w:r>
          </w:p>
        </w:tc>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rPr>
                <w:rStyle w:val="Gl"/>
              </w:rPr>
              <w:t>ÜRÜNLER</w:t>
            </w:r>
          </w:p>
        </w:tc>
        <w:tc>
          <w:tcPr>
            <w:tcW w:w="17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rPr>
                <w:rStyle w:val="Gl"/>
              </w:rPr>
              <w:t>2012</w:t>
            </w:r>
          </w:p>
        </w:tc>
        <w:tc>
          <w:tcPr>
            <w:tcW w:w="17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rPr>
                <w:rStyle w:val="Gl"/>
              </w:rPr>
              <w:t>2013</w:t>
            </w:r>
          </w:p>
        </w:tc>
        <w:tc>
          <w:tcPr>
            <w:tcW w:w="17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rPr>
                <w:rStyle w:val="Gl"/>
              </w:rPr>
              <w:t>2014</w:t>
            </w:r>
          </w:p>
        </w:tc>
      </w:tr>
      <w:tr w:rsidR="00A209E1" w:rsidTr="00A209E1">
        <w:trPr>
          <w:trHeight w:val="31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8542</w:t>
            </w:r>
          </w:p>
        </w:tc>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Elektronik Entegre Devreler</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31.537,3</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31.673,6</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34.314,1</w:t>
            </w:r>
          </w:p>
        </w:tc>
      </w:tr>
      <w:tr w:rsidR="00A209E1" w:rsidTr="00A209E1">
        <w:trPr>
          <w:trHeight w:val="31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2709</w:t>
            </w:r>
          </w:p>
        </w:tc>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Ham Petrol</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35.644,0</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33.463,8</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32.130,1</w:t>
            </w:r>
          </w:p>
        </w:tc>
      </w:tr>
      <w:tr w:rsidR="00A209E1" w:rsidTr="00A209E1">
        <w:trPr>
          <w:trHeight w:val="630"/>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2710</w:t>
            </w:r>
          </w:p>
        </w:tc>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 xml:space="preserve">Petrol Yağları Ve </w:t>
            </w:r>
            <w:proofErr w:type="spellStart"/>
            <w:r>
              <w:t>Bitumenli</w:t>
            </w:r>
            <w:proofErr w:type="spellEnd"/>
            <w:r>
              <w:t xml:space="preserve"> Minerallerden Elde Edilen Yağlar</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14.491,8</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16.315,2</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14.508,5</w:t>
            </w:r>
          </w:p>
        </w:tc>
      </w:tr>
      <w:tr w:rsidR="00A209E1" w:rsidTr="00A209E1">
        <w:trPr>
          <w:trHeight w:val="630"/>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lastRenderedPageBreak/>
              <w:t>2711</w:t>
            </w:r>
          </w:p>
        </w:tc>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Petrol Gazları ve Diğer Gazlı Hidrokarbonlar</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10.433,9</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10.835,4</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11.461,2</w:t>
            </w:r>
          </w:p>
        </w:tc>
      </w:tr>
      <w:tr w:rsidR="00A209E1" w:rsidTr="00A209E1">
        <w:trPr>
          <w:trHeight w:val="630"/>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8486</w:t>
            </w:r>
          </w:p>
        </w:tc>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Yarı İletken Disk, Elektronik Entegre Devresi,</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10.122,5</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11.925,7</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10.152,6</w:t>
            </w:r>
          </w:p>
        </w:tc>
      </w:tr>
      <w:tr w:rsidR="00A209E1" w:rsidTr="00A209E1">
        <w:trPr>
          <w:trHeight w:val="94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2701</w:t>
            </w:r>
          </w:p>
        </w:tc>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proofErr w:type="spellStart"/>
            <w:r>
              <w:t>Taskomuru</w:t>
            </w:r>
            <w:proofErr w:type="spellEnd"/>
            <w:r>
              <w:t xml:space="preserve">; </w:t>
            </w:r>
            <w:proofErr w:type="spellStart"/>
            <w:r>
              <w:t>Taskomurunden</w:t>
            </w:r>
            <w:proofErr w:type="spellEnd"/>
            <w:r>
              <w:t xml:space="preserve"> Elde Edilen Briketler, Topak Vb. Kati </w:t>
            </w:r>
            <w:proofErr w:type="spellStart"/>
            <w:r>
              <w:t>Yakitlar</w:t>
            </w:r>
            <w:proofErr w:type="spellEnd"/>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7.974,9</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6.834,3</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6.041,7</w:t>
            </w:r>
          </w:p>
        </w:tc>
      </w:tr>
      <w:tr w:rsidR="00A209E1" w:rsidTr="00A209E1">
        <w:trPr>
          <w:trHeight w:val="61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8517</w:t>
            </w:r>
          </w:p>
        </w:tc>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 xml:space="preserve">Telli Telefon-Telgraf </w:t>
            </w:r>
            <w:proofErr w:type="spellStart"/>
            <w:r>
              <w:t>Icin</w:t>
            </w:r>
            <w:proofErr w:type="spellEnd"/>
            <w:r>
              <w:t xml:space="preserve"> Elektrikli Cihazlar</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4.291,3</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4.909,6</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5.019,2</w:t>
            </w:r>
          </w:p>
        </w:tc>
      </w:tr>
      <w:tr w:rsidR="00A209E1" w:rsidTr="00A209E1">
        <w:trPr>
          <w:trHeight w:val="61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8703</w:t>
            </w:r>
          </w:p>
        </w:tc>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Otomobil, Steyşın Vagonlar, Yarış Arabaları</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2.760,2</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3.253,0</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3.803,1</w:t>
            </w:r>
          </w:p>
        </w:tc>
      </w:tr>
      <w:tr w:rsidR="00A209E1" w:rsidTr="00A209E1">
        <w:trPr>
          <w:trHeight w:val="61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9030</w:t>
            </w:r>
          </w:p>
        </w:tc>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Alfa, Gama, Beta, X Işını, Kozmik Vb. Işınları Ölçen Alet ve Cihazları</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2.552,1</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2.445,8</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3.588,6</w:t>
            </w:r>
          </w:p>
        </w:tc>
      </w:tr>
      <w:tr w:rsidR="00A209E1" w:rsidTr="00A209E1">
        <w:trPr>
          <w:trHeight w:val="330"/>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2902</w:t>
            </w:r>
          </w:p>
        </w:tc>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proofErr w:type="gramStart"/>
            <w:r>
              <w:t>Siklik</w:t>
            </w:r>
            <w:proofErr w:type="gramEnd"/>
            <w:r>
              <w:t xml:space="preserve"> Hidrokarbonlar</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3.902,0</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4.428,2</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3.482,9</w:t>
            </w:r>
          </w:p>
        </w:tc>
      </w:tr>
      <w:tr w:rsidR="00A209E1" w:rsidTr="00A209E1">
        <w:trPr>
          <w:trHeight w:val="61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7403</w:t>
            </w:r>
          </w:p>
        </w:tc>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proofErr w:type="spellStart"/>
            <w:r>
              <w:t>Aritilmis</w:t>
            </w:r>
            <w:proofErr w:type="spellEnd"/>
            <w:r>
              <w:t xml:space="preserve"> Bakir, </w:t>
            </w:r>
            <w:proofErr w:type="spellStart"/>
            <w:r>
              <w:t>Islenmemis</w:t>
            </w:r>
            <w:proofErr w:type="spellEnd"/>
            <w:r>
              <w:t xml:space="preserve"> Bakir </w:t>
            </w:r>
            <w:proofErr w:type="spellStart"/>
            <w:r>
              <w:t>Alasimlari</w:t>
            </w:r>
            <w:proofErr w:type="spellEnd"/>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3.559,6</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3.312,7</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3.347,8</w:t>
            </w:r>
          </w:p>
        </w:tc>
      </w:tr>
      <w:tr w:rsidR="00A209E1" w:rsidTr="00A209E1">
        <w:trPr>
          <w:trHeight w:val="61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3818</w:t>
            </w:r>
          </w:p>
        </w:tc>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 xml:space="preserve">Elektronikte </w:t>
            </w:r>
            <w:proofErr w:type="spellStart"/>
            <w:r>
              <w:t>Kullanilmak</w:t>
            </w:r>
            <w:proofErr w:type="spellEnd"/>
            <w:r>
              <w:t xml:space="preserve"> </w:t>
            </w:r>
            <w:proofErr w:type="spellStart"/>
            <w:r>
              <w:t>Uzere</w:t>
            </w:r>
            <w:proofErr w:type="spellEnd"/>
            <w:r>
              <w:t xml:space="preserve"> Depo </w:t>
            </w:r>
            <w:proofErr w:type="spellStart"/>
            <w:r>
              <w:t>Edilmis</w:t>
            </w:r>
            <w:proofErr w:type="spellEnd"/>
            <w:r>
              <w:t xml:space="preserve"> Kimyasal Elemen Ve Bileşikler</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2.518,0</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2.783,0</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3.292,1</w:t>
            </w:r>
          </w:p>
        </w:tc>
      </w:tr>
      <w:tr w:rsidR="00A209E1" w:rsidTr="00A209E1">
        <w:trPr>
          <w:trHeight w:val="330"/>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8471</w:t>
            </w:r>
          </w:p>
        </w:tc>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 xml:space="preserve">Otomatik Bilgi </w:t>
            </w:r>
            <w:proofErr w:type="spellStart"/>
            <w:r>
              <w:t>Islem</w:t>
            </w:r>
            <w:proofErr w:type="spellEnd"/>
            <w:r>
              <w:t xml:space="preserve"> Makineleri, </w:t>
            </w:r>
            <w:proofErr w:type="spellStart"/>
            <w:r>
              <w:t>Uniteleri</w:t>
            </w:r>
            <w:proofErr w:type="spellEnd"/>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3.067,6</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3.102,2</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3.169,1</w:t>
            </w:r>
          </w:p>
        </w:tc>
      </w:tr>
      <w:tr w:rsidR="00A209E1" w:rsidTr="00A209E1">
        <w:trPr>
          <w:trHeight w:val="61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8541</w:t>
            </w:r>
          </w:p>
        </w:tc>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proofErr w:type="spellStart"/>
            <w:r>
              <w:t>Diotlar</w:t>
            </w:r>
            <w:proofErr w:type="spellEnd"/>
            <w:r>
              <w:t xml:space="preserve">, </w:t>
            </w:r>
            <w:proofErr w:type="spellStart"/>
            <w:r>
              <w:t>Transistorler</w:t>
            </w:r>
            <w:proofErr w:type="spellEnd"/>
            <w:r>
              <w:t xml:space="preserve"> Vb. </w:t>
            </w:r>
            <w:proofErr w:type="spellStart"/>
            <w:proofErr w:type="gramStart"/>
            <w:r>
              <w:t>Yari</w:t>
            </w:r>
            <w:proofErr w:type="spellEnd"/>
            <w:proofErr w:type="gramEnd"/>
            <w:r>
              <w:t xml:space="preserve"> </w:t>
            </w:r>
            <w:proofErr w:type="spellStart"/>
            <w:r>
              <w:t>Iletkenler</w:t>
            </w:r>
            <w:proofErr w:type="spellEnd"/>
            <w:r>
              <w:t xml:space="preserve">, </w:t>
            </w:r>
            <w:proofErr w:type="spellStart"/>
            <w:r>
              <w:t>Piezo</w:t>
            </w:r>
            <w:proofErr w:type="spellEnd"/>
            <w:r>
              <w:t xml:space="preserve"> Elektrik Kristaller</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2.905,1</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2.582,8</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2.797,7</w:t>
            </w:r>
          </w:p>
        </w:tc>
      </w:tr>
      <w:tr w:rsidR="00A209E1" w:rsidTr="00A209E1">
        <w:trPr>
          <w:trHeight w:val="330"/>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2601</w:t>
            </w:r>
          </w:p>
        </w:tc>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Demir Cevherleri ve Konsantreleri</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2.628,5</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2.888,4</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2.515,7</w:t>
            </w:r>
          </w:p>
        </w:tc>
      </w:tr>
      <w:tr w:rsidR="00A209E1" w:rsidTr="00A209E1">
        <w:trPr>
          <w:trHeight w:val="61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7219</w:t>
            </w:r>
          </w:p>
        </w:tc>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 xml:space="preserve">Paslanmaz </w:t>
            </w:r>
            <w:proofErr w:type="spellStart"/>
            <w:r>
              <w:t>Celikten</w:t>
            </w:r>
            <w:proofErr w:type="spellEnd"/>
            <w:r>
              <w:t xml:space="preserve"> </w:t>
            </w:r>
            <w:proofErr w:type="spellStart"/>
            <w:r>
              <w:t>Yassi</w:t>
            </w:r>
            <w:proofErr w:type="spellEnd"/>
            <w:r>
              <w:t xml:space="preserve"> Hadde </w:t>
            </w:r>
            <w:proofErr w:type="spellStart"/>
            <w:r>
              <w:t>Mamulu</w:t>
            </w:r>
            <w:proofErr w:type="spellEnd"/>
            <w:r>
              <w:t xml:space="preserve"> (600mm Den </w:t>
            </w:r>
            <w:proofErr w:type="spellStart"/>
            <w:r>
              <w:t>Genis</w:t>
            </w:r>
            <w:proofErr w:type="spellEnd"/>
            <w:r>
              <w:t>)</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1.977,1</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2.113,5</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2.190,9</w:t>
            </w:r>
          </w:p>
        </w:tc>
      </w:tr>
      <w:tr w:rsidR="00A209E1" w:rsidTr="00A209E1">
        <w:trPr>
          <w:trHeight w:val="61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3004</w:t>
            </w:r>
          </w:p>
        </w:tc>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 xml:space="preserve">Tedavide/Korunmada </w:t>
            </w:r>
            <w:proofErr w:type="spellStart"/>
            <w:r>
              <w:t>Kullanilmak</w:t>
            </w:r>
            <w:proofErr w:type="spellEnd"/>
            <w:r>
              <w:t xml:space="preserve"> </w:t>
            </w:r>
            <w:proofErr w:type="spellStart"/>
            <w:r>
              <w:t>Uzere</w:t>
            </w:r>
            <w:proofErr w:type="spellEnd"/>
            <w:r>
              <w:t xml:space="preserve"> Hazırlanan İlaçlar (</w:t>
            </w:r>
            <w:proofErr w:type="spellStart"/>
            <w:r>
              <w:t>Dozlandırılmış</w:t>
            </w:r>
            <w:proofErr w:type="spellEnd"/>
            <w:r>
              <w:t>)</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1.938,2</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2.160,4</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2.174,0</w:t>
            </w:r>
          </w:p>
        </w:tc>
      </w:tr>
      <w:tr w:rsidR="00A209E1" w:rsidTr="00A209E1">
        <w:trPr>
          <w:trHeight w:val="61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3824</w:t>
            </w:r>
          </w:p>
        </w:tc>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Kimya ve Bağlı Sanayide Kullanılan Kimyasal Ürünler</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2.409,5</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2.448,0</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2.163,7</w:t>
            </w:r>
          </w:p>
        </w:tc>
      </w:tr>
      <w:tr w:rsidR="00A209E1" w:rsidTr="00A209E1">
        <w:trPr>
          <w:trHeight w:val="61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t>3920</w:t>
            </w:r>
          </w:p>
        </w:tc>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 xml:space="preserve">Plastikten </w:t>
            </w:r>
            <w:proofErr w:type="spellStart"/>
            <w:r>
              <w:t>Diger</w:t>
            </w:r>
            <w:proofErr w:type="spellEnd"/>
            <w:r>
              <w:t xml:space="preserve"> Levha, Yaprak, </w:t>
            </w:r>
            <w:proofErr w:type="spellStart"/>
            <w:r>
              <w:t>Pelikul</w:t>
            </w:r>
            <w:proofErr w:type="spellEnd"/>
            <w:r>
              <w:t xml:space="preserve"> Ve Lamlar</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2.344,4</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2.064,4</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1.921,0</w:t>
            </w:r>
          </w:p>
        </w:tc>
      </w:tr>
    </w:tbl>
    <w:p w:rsidR="00D2309C" w:rsidRDefault="00A209E1" w:rsidP="00D2309C">
      <w:pPr>
        <w:pStyle w:val="NormalWeb"/>
      </w:pPr>
      <w:r>
        <w:t xml:space="preserve">Kaynak: </w:t>
      </w:r>
      <w:proofErr w:type="spellStart"/>
      <w:r>
        <w:t>Trademap</w:t>
      </w:r>
      <w:proofErr w:type="spellEnd"/>
    </w:p>
    <w:p w:rsidR="00A209E1" w:rsidRDefault="00A209E1" w:rsidP="00A209E1">
      <w:pPr>
        <w:pStyle w:val="NormalWeb"/>
        <w:jc w:val="both"/>
      </w:pPr>
      <w:r>
        <w:t>2013 yılına kadar Tayvan’ın en çok ithalat gerçekleştirdiği ülke Japonya iken 2014 yılından itibaren Çin ilk sıraya yükselmiştir. ABD Tayvan’ın en çok ithalat gerçekleştirdiği üçüncü ülke iken Suudi Arabistan petrol ithalatına bağlı olarak dördüncü sırada yer almaktadır.</w:t>
      </w:r>
    </w:p>
    <w:p w:rsidR="00D2309C" w:rsidRDefault="00D2309C" w:rsidP="00A209E1">
      <w:pPr>
        <w:pStyle w:val="NormalWeb"/>
        <w:jc w:val="both"/>
      </w:pPr>
    </w:p>
    <w:p w:rsidR="00D2309C" w:rsidRDefault="00D2309C" w:rsidP="00A209E1">
      <w:pPr>
        <w:pStyle w:val="NormalWeb"/>
        <w:jc w:val="both"/>
      </w:pPr>
    </w:p>
    <w:p w:rsidR="00D2309C" w:rsidRDefault="00D2309C" w:rsidP="00A209E1">
      <w:pPr>
        <w:pStyle w:val="NormalWeb"/>
        <w:jc w:val="both"/>
      </w:pPr>
    </w:p>
    <w:p w:rsidR="00A209E1" w:rsidRDefault="00A209E1" w:rsidP="00A209E1">
      <w:pPr>
        <w:pStyle w:val="NormalWeb"/>
        <w:jc w:val="both"/>
      </w:pPr>
      <w:proofErr w:type="spellStart"/>
      <w:r>
        <w:lastRenderedPageBreak/>
        <w:t>Tayvan'in</w:t>
      </w:r>
      <w:proofErr w:type="spellEnd"/>
      <w:r>
        <w:t xml:space="preserve"> ithalatındaki başlıca ülkeler aşağıdaki tabloda verilmiştir.</w:t>
      </w:r>
    </w:p>
    <w:p w:rsidR="00A209E1" w:rsidRDefault="00A209E1" w:rsidP="00A209E1">
      <w:pPr>
        <w:pStyle w:val="NormalWeb"/>
      </w:pPr>
      <w:r>
        <w:t> Tablo: Tayvan'ın İthalatında Başlıca Ülkeler (Milyon $)</w:t>
      </w:r>
    </w:p>
    <w:tbl>
      <w:tblPr>
        <w:tblW w:w="9060" w:type="dxa"/>
        <w:tblCellSpacing w:w="0" w:type="dxa"/>
        <w:tblBorders>
          <w:top w:val="outset" w:sz="36" w:space="0" w:color="auto"/>
          <w:left w:val="outset" w:sz="36" w:space="0" w:color="auto"/>
          <w:bottom w:val="outset" w:sz="36" w:space="0" w:color="auto"/>
          <w:right w:val="outset" w:sz="36" w:space="0" w:color="auto"/>
        </w:tblBorders>
        <w:tblCellMar>
          <w:left w:w="0" w:type="dxa"/>
          <w:right w:w="0" w:type="dxa"/>
        </w:tblCellMar>
        <w:tblLook w:val="04A0" w:firstRow="1" w:lastRow="0" w:firstColumn="1" w:lastColumn="0" w:noHBand="0" w:noVBand="1"/>
      </w:tblPr>
      <w:tblGrid>
        <w:gridCol w:w="3750"/>
        <w:gridCol w:w="1770"/>
        <w:gridCol w:w="1770"/>
        <w:gridCol w:w="1770"/>
      </w:tblGrid>
      <w:tr w:rsidR="00A209E1" w:rsidTr="00A209E1">
        <w:trPr>
          <w:trHeight w:val="315"/>
          <w:tblCellSpacing w:w="0" w:type="dxa"/>
        </w:trPr>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rPr>
                <w:rStyle w:val="Gl"/>
              </w:rPr>
              <w:t>ÜLKELER</w:t>
            </w:r>
          </w:p>
        </w:tc>
        <w:tc>
          <w:tcPr>
            <w:tcW w:w="17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rPr>
                <w:rStyle w:val="Gl"/>
              </w:rPr>
              <w:t>2012</w:t>
            </w:r>
          </w:p>
        </w:tc>
        <w:tc>
          <w:tcPr>
            <w:tcW w:w="17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rPr>
                <w:rStyle w:val="Gl"/>
              </w:rPr>
              <w:t>2013</w:t>
            </w:r>
          </w:p>
        </w:tc>
        <w:tc>
          <w:tcPr>
            <w:tcW w:w="17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jc w:val="center"/>
            </w:pPr>
            <w:r>
              <w:rPr>
                <w:rStyle w:val="Gl"/>
              </w:rPr>
              <w:t>2014</w:t>
            </w:r>
          </w:p>
        </w:tc>
      </w:tr>
      <w:tr w:rsidR="00A209E1" w:rsidTr="00A209E1">
        <w:trPr>
          <w:trHeight w:val="315"/>
          <w:tblCellSpacing w:w="0" w:type="dxa"/>
        </w:trPr>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Çin</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40.960,3</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42.487,4</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47.956,7</w:t>
            </w:r>
          </w:p>
        </w:tc>
      </w:tr>
      <w:tr w:rsidR="00A209E1" w:rsidTr="00A209E1">
        <w:trPr>
          <w:trHeight w:val="315"/>
          <w:tblCellSpacing w:w="0" w:type="dxa"/>
        </w:trPr>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Japonya</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47.650,0</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43.069,3</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41.627,0</w:t>
            </w:r>
          </w:p>
        </w:tc>
      </w:tr>
      <w:tr w:rsidR="00A209E1" w:rsidTr="00A209E1">
        <w:trPr>
          <w:trHeight w:val="315"/>
          <w:tblCellSpacing w:w="0" w:type="dxa"/>
        </w:trPr>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ABD</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23.876,9</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25.460,5</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27.655,7</w:t>
            </w:r>
          </w:p>
        </w:tc>
      </w:tr>
      <w:tr w:rsidR="00A209E1" w:rsidTr="00A209E1">
        <w:trPr>
          <w:trHeight w:val="315"/>
          <w:tblCellSpacing w:w="0" w:type="dxa"/>
        </w:trPr>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Güney Kore</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15.098,3</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15.732,5</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14.764,0</w:t>
            </w:r>
          </w:p>
        </w:tc>
      </w:tr>
      <w:tr w:rsidR="00A209E1" w:rsidTr="00A209E1">
        <w:trPr>
          <w:trHeight w:val="315"/>
          <w:tblCellSpacing w:w="0" w:type="dxa"/>
        </w:trPr>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Suudi Arabistan</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14.798,3</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15.569,2</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13.664,7</w:t>
            </w:r>
          </w:p>
        </w:tc>
      </w:tr>
      <w:tr w:rsidR="00A209E1" w:rsidTr="00A209E1">
        <w:trPr>
          <w:trHeight w:val="315"/>
          <w:tblCellSpacing w:w="0" w:type="dxa"/>
        </w:trPr>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Almanya</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7.767,6</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8.237,2</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9.372,2</w:t>
            </w:r>
          </w:p>
        </w:tc>
      </w:tr>
      <w:tr w:rsidR="00A209E1" w:rsidTr="00A209E1">
        <w:trPr>
          <w:trHeight w:val="315"/>
          <w:tblCellSpacing w:w="0" w:type="dxa"/>
        </w:trPr>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Malezya</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7.856,9</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8.111,5</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8.781,8</w:t>
            </w:r>
          </w:p>
        </w:tc>
      </w:tr>
      <w:tr w:rsidR="00A209E1" w:rsidTr="00A209E1">
        <w:trPr>
          <w:trHeight w:val="315"/>
          <w:tblCellSpacing w:w="0" w:type="dxa"/>
        </w:trPr>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Singapur</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8.123,9</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8.524,2</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8.364,3</w:t>
            </w:r>
          </w:p>
        </w:tc>
      </w:tr>
      <w:tr w:rsidR="00A209E1" w:rsidTr="00A209E1">
        <w:trPr>
          <w:trHeight w:val="315"/>
          <w:tblCellSpacing w:w="0" w:type="dxa"/>
        </w:trPr>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Endonezya</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7.340,2</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7.129,9</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7.387,9</w:t>
            </w:r>
          </w:p>
        </w:tc>
      </w:tr>
      <w:tr w:rsidR="00A209E1" w:rsidTr="00A209E1">
        <w:trPr>
          <w:trHeight w:val="315"/>
          <w:tblCellSpacing w:w="0" w:type="dxa"/>
        </w:trPr>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Avustralya</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9.293,0</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7.860,3</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7.318,4</w:t>
            </w:r>
          </w:p>
        </w:tc>
      </w:tr>
      <w:tr w:rsidR="00A209E1" w:rsidTr="00A209E1">
        <w:trPr>
          <w:trHeight w:val="315"/>
          <w:tblCellSpacing w:w="0" w:type="dxa"/>
        </w:trPr>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Diğer Bölgeler</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4.887,6</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5.604,2</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6.950,9</w:t>
            </w:r>
          </w:p>
        </w:tc>
      </w:tr>
      <w:tr w:rsidR="00A209E1" w:rsidTr="00A209E1">
        <w:trPr>
          <w:trHeight w:val="315"/>
          <w:tblCellSpacing w:w="0" w:type="dxa"/>
        </w:trPr>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Kuveyt</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8.623,8</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8.378,8</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6.668,2</w:t>
            </w:r>
          </w:p>
        </w:tc>
      </w:tr>
      <w:tr w:rsidR="00A209E1" w:rsidTr="00A209E1">
        <w:trPr>
          <w:trHeight w:val="315"/>
          <w:tblCellSpacing w:w="0" w:type="dxa"/>
        </w:trPr>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BAE</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4.640,3</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4.578,3</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5.486,0</w:t>
            </w:r>
          </w:p>
        </w:tc>
      </w:tr>
      <w:tr w:rsidR="00A209E1" w:rsidTr="00A209E1">
        <w:trPr>
          <w:trHeight w:val="315"/>
          <w:tblCellSpacing w:w="0" w:type="dxa"/>
        </w:trPr>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Katar</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5.506,8</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6.209,7</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5.373,3</w:t>
            </w:r>
          </w:p>
        </w:tc>
      </w:tr>
      <w:tr w:rsidR="00A209E1" w:rsidTr="00A209E1">
        <w:trPr>
          <w:trHeight w:val="315"/>
          <w:tblCellSpacing w:w="0" w:type="dxa"/>
        </w:trPr>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Tayland</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3.702,0</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3.743,3</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4.296,7</w:t>
            </w:r>
          </w:p>
        </w:tc>
      </w:tr>
      <w:tr w:rsidR="00A209E1" w:rsidTr="00A209E1">
        <w:trPr>
          <w:trHeight w:val="315"/>
          <w:tblCellSpacing w:w="0" w:type="dxa"/>
        </w:trPr>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Umman</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4.228,7</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3.517,7</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3.659,7</w:t>
            </w:r>
          </w:p>
        </w:tc>
      </w:tr>
      <w:tr w:rsidR="00A209E1" w:rsidTr="00A209E1">
        <w:trPr>
          <w:trHeight w:val="315"/>
          <w:tblCellSpacing w:w="0" w:type="dxa"/>
        </w:trPr>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Rusya Federasyonu</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3.134,6</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3.231,2</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3.644,1</w:t>
            </w:r>
          </w:p>
        </w:tc>
      </w:tr>
      <w:tr w:rsidR="00A209E1" w:rsidTr="00A209E1">
        <w:trPr>
          <w:trHeight w:val="315"/>
          <w:tblCellSpacing w:w="0" w:type="dxa"/>
        </w:trPr>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Irak</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2.614,3</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2.632,8</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3.471,4</w:t>
            </w:r>
          </w:p>
        </w:tc>
      </w:tr>
      <w:tr w:rsidR="00A209E1" w:rsidTr="00A209E1">
        <w:trPr>
          <w:trHeight w:val="315"/>
          <w:tblCellSpacing w:w="0" w:type="dxa"/>
        </w:trPr>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Hollanda</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3.626,0</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4.654,0</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3.204,0</w:t>
            </w:r>
          </w:p>
        </w:tc>
      </w:tr>
      <w:tr w:rsidR="00A209E1" w:rsidTr="00A209E1">
        <w:trPr>
          <w:trHeight w:val="315"/>
          <w:tblCellSpacing w:w="0" w:type="dxa"/>
        </w:trPr>
        <w:tc>
          <w:tcPr>
            <w:tcW w:w="3840" w:type="dxa"/>
            <w:tcBorders>
              <w:top w:val="outset" w:sz="6" w:space="0" w:color="auto"/>
              <w:left w:val="outset" w:sz="6" w:space="0" w:color="auto"/>
              <w:bottom w:val="outset" w:sz="6" w:space="0" w:color="auto"/>
              <w:right w:val="outset" w:sz="6" w:space="0" w:color="auto"/>
            </w:tcBorders>
            <w:vAlign w:val="center"/>
            <w:hideMark/>
          </w:tcPr>
          <w:p w:rsidR="00A209E1" w:rsidRDefault="00A209E1">
            <w:pPr>
              <w:pStyle w:val="NormalWeb"/>
            </w:pPr>
            <w:r>
              <w:t>Angola</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5.005,0</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3.855,3</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jc w:val="center"/>
            </w:pPr>
            <w:r>
              <w:t>2.950,5</w:t>
            </w:r>
          </w:p>
        </w:tc>
      </w:tr>
    </w:tbl>
    <w:p w:rsidR="00A209E1" w:rsidRDefault="00A209E1" w:rsidP="00A209E1">
      <w:pPr>
        <w:pStyle w:val="NormalWeb"/>
      </w:pPr>
      <w:r>
        <w:t xml:space="preserve">Kaynak: </w:t>
      </w:r>
      <w:proofErr w:type="spellStart"/>
      <w:r>
        <w:t>Trademap</w:t>
      </w:r>
      <w:proofErr w:type="spellEnd"/>
      <w:r>
        <w:t> </w:t>
      </w:r>
    </w:p>
    <w:p w:rsidR="00A209E1" w:rsidRPr="00D2309C" w:rsidRDefault="00A209E1" w:rsidP="00A209E1">
      <w:pPr>
        <w:pStyle w:val="Balk2"/>
        <w:rPr>
          <w:sz w:val="24"/>
          <w:szCs w:val="24"/>
        </w:rPr>
      </w:pPr>
      <w:r w:rsidRPr="00D2309C">
        <w:rPr>
          <w:sz w:val="24"/>
          <w:szCs w:val="24"/>
        </w:rPr>
        <w:t>Türkiye ile Ticaret</w:t>
      </w:r>
    </w:p>
    <w:p w:rsidR="00A209E1" w:rsidRDefault="00A209E1" w:rsidP="00A209E1">
      <w:pPr>
        <w:pStyle w:val="Balk4"/>
      </w:pPr>
      <w:r>
        <w:t>Genel Durum</w:t>
      </w:r>
    </w:p>
    <w:p w:rsidR="00A209E1" w:rsidRDefault="00A209E1" w:rsidP="00A209E1">
      <w:pPr>
        <w:pStyle w:val="NormalWeb"/>
        <w:jc w:val="both"/>
      </w:pPr>
      <w:r>
        <w:t>1995 yılına kadar göreceli olarak dengeli bir biçimde ilerleyen Türkiye ile Tayvan arasındaki dış ticaret rakamları, 1995 sonrasında Türkiye aleyhine bir seyir izlemeye başlamıştır. Türkiye ile Tayvan arasındaki ticari ilişkiler, 1996 yılından bu yana ticaret hacmi açısından değerlendirildiğinde, zaman zaman inişler ve çıkışlar gösterse de genel olarak düzenli sayılabilecek bir gelişme göstermektedir. İlk kez 1 milyar $’</w:t>
      </w:r>
      <w:proofErr w:type="spellStart"/>
      <w:r>
        <w:t>lık</w:t>
      </w:r>
      <w:proofErr w:type="spellEnd"/>
      <w:r>
        <w:t xml:space="preserve"> ticaret hacmi 2004 yılında aşılmıştır. İkili ticaret 1996 yılında 500 milyon, 2004 yılında 1,37 milyar, 2010 yılında ise yaklaşık 2 milyar Amerikan dolarına yükselmiştir. 2011 yılında 2,2 milyar Amerikan dolarına ulaşan dış ticaret hacminde bu yıldan itibaren durağan bir seyir izlenmektedir.</w:t>
      </w:r>
    </w:p>
    <w:p w:rsidR="00A209E1" w:rsidRDefault="00A209E1" w:rsidP="00A209E1">
      <w:pPr>
        <w:pStyle w:val="NormalWeb"/>
        <w:jc w:val="both"/>
      </w:pPr>
      <w:r>
        <w:t xml:space="preserve">İkili ticari ilişkilerdeki özellikle ticaret hacmi yönündeki memnuniyet verici gelişmeye rağmen, Tayvan ile ticarette Türkiye'nin karşılaştığı açık, yıllar itibariyle artış göstermektedir. İkili ticarette, 2014 yılı itibariyle Türkiye aleyhine gerçekleşen dış ticaret açığı 1,8 milyar </w:t>
      </w:r>
      <w:r>
        <w:lastRenderedPageBreak/>
        <w:t>Amerikan dolarıdır. 2014 yılı itibariyle dış ticaret hacminin yaklaşık 2,14 milyar Amerikan doları olduğu göz önünde bulundurulduğunda, bu açığın ne kadar ciddi bir boyutta olduğu daha net görülecektir. </w:t>
      </w:r>
    </w:p>
    <w:p w:rsidR="00A209E1" w:rsidRDefault="00A209E1" w:rsidP="00A209E1">
      <w:pPr>
        <w:pStyle w:val="NormalWeb"/>
      </w:pPr>
      <w:r>
        <w:t>Tablo 5: Türkiye- Tayvan Dış Ticareti (milyon $)</w:t>
      </w:r>
    </w:p>
    <w:tbl>
      <w:tblPr>
        <w:tblW w:w="95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1965"/>
        <w:gridCol w:w="1965"/>
        <w:gridCol w:w="1890"/>
        <w:gridCol w:w="2040"/>
      </w:tblGrid>
      <w:tr w:rsidR="00A209E1" w:rsidTr="00A209E1">
        <w:trPr>
          <w:trHeight w:val="255"/>
          <w:tblCellSpacing w:w="0" w:type="dxa"/>
        </w:trPr>
        <w:tc>
          <w:tcPr>
            <w:tcW w:w="180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rPr>
                <w:rStyle w:val="Gl"/>
              </w:rPr>
              <w:t> Yıl</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rPr>
                <w:rStyle w:val="Gl"/>
              </w:rPr>
              <w:t>İhracat</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rPr>
                <w:rStyle w:val="Gl"/>
              </w:rPr>
              <w:t>İthalat</w:t>
            </w:r>
          </w:p>
        </w:tc>
        <w:tc>
          <w:tcPr>
            <w:tcW w:w="186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rPr>
                <w:rStyle w:val="Gl"/>
              </w:rPr>
              <w:t>Denge</w:t>
            </w:r>
          </w:p>
        </w:tc>
        <w:tc>
          <w:tcPr>
            <w:tcW w:w="201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rPr>
                <w:rStyle w:val="Gl"/>
              </w:rPr>
              <w:t>Hacim</w:t>
            </w:r>
          </w:p>
        </w:tc>
      </w:tr>
      <w:tr w:rsidR="00A209E1" w:rsidTr="00A209E1">
        <w:trPr>
          <w:trHeight w:val="255"/>
          <w:tblCellSpacing w:w="0" w:type="dxa"/>
        </w:trPr>
        <w:tc>
          <w:tcPr>
            <w:tcW w:w="180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1996</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40</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452</w:t>
            </w:r>
          </w:p>
        </w:tc>
        <w:tc>
          <w:tcPr>
            <w:tcW w:w="186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-412</w:t>
            </w:r>
          </w:p>
        </w:tc>
        <w:tc>
          <w:tcPr>
            <w:tcW w:w="201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492</w:t>
            </w:r>
          </w:p>
        </w:tc>
      </w:tr>
      <w:tr w:rsidR="00A209E1" w:rsidTr="00A209E1">
        <w:trPr>
          <w:trHeight w:val="255"/>
          <w:tblCellSpacing w:w="0" w:type="dxa"/>
        </w:trPr>
        <w:tc>
          <w:tcPr>
            <w:tcW w:w="180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1997</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50</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511</w:t>
            </w:r>
          </w:p>
        </w:tc>
        <w:tc>
          <w:tcPr>
            <w:tcW w:w="186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-461</w:t>
            </w:r>
          </w:p>
        </w:tc>
        <w:tc>
          <w:tcPr>
            <w:tcW w:w="201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561</w:t>
            </w:r>
          </w:p>
        </w:tc>
      </w:tr>
      <w:tr w:rsidR="00A209E1" w:rsidTr="00A209E1">
        <w:trPr>
          <w:trHeight w:val="255"/>
          <w:tblCellSpacing w:w="0" w:type="dxa"/>
        </w:trPr>
        <w:tc>
          <w:tcPr>
            <w:tcW w:w="180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1998</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25</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516</w:t>
            </w:r>
          </w:p>
        </w:tc>
        <w:tc>
          <w:tcPr>
            <w:tcW w:w="186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-491</w:t>
            </w:r>
          </w:p>
        </w:tc>
        <w:tc>
          <w:tcPr>
            <w:tcW w:w="201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541</w:t>
            </w:r>
          </w:p>
        </w:tc>
      </w:tr>
      <w:tr w:rsidR="00A209E1" w:rsidTr="00A209E1">
        <w:trPr>
          <w:trHeight w:val="255"/>
          <w:tblCellSpacing w:w="0" w:type="dxa"/>
        </w:trPr>
        <w:tc>
          <w:tcPr>
            <w:tcW w:w="180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1999</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32</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374</w:t>
            </w:r>
          </w:p>
        </w:tc>
        <w:tc>
          <w:tcPr>
            <w:tcW w:w="186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-342</w:t>
            </w:r>
          </w:p>
        </w:tc>
        <w:tc>
          <w:tcPr>
            <w:tcW w:w="201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406</w:t>
            </w:r>
          </w:p>
        </w:tc>
      </w:tr>
      <w:tr w:rsidR="00A209E1" w:rsidTr="00A209E1">
        <w:trPr>
          <w:trHeight w:val="255"/>
          <w:tblCellSpacing w:w="0" w:type="dxa"/>
        </w:trPr>
        <w:tc>
          <w:tcPr>
            <w:tcW w:w="180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2000</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69</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563</w:t>
            </w:r>
          </w:p>
        </w:tc>
        <w:tc>
          <w:tcPr>
            <w:tcW w:w="186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-494</w:t>
            </w:r>
          </w:p>
        </w:tc>
        <w:tc>
          <w:tcPr>
            <w:tcW w:w="201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632</w:t>
            </w:r>
          </w:p>
        </w:tc>
      </w:tr>
      <w:tr w:rsidR="00A209E1" w:rsidTr="00A209E1">
        <w:trPr>
          <w:trHeight w:val="255"/>
          <w:tblCellSpacing w:w="0" w:type="dxa"/>
        </w:trPr>
        <w:tc>
          <w:tcPr>
            <w:tcW w:w="180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2001</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67</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316</w:t>
            </w:r>
          </w:p>
        </w:tc>
        <w:tc>
          <w:tcPr>
            <w:tcW w:w="186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-249</w:t>
            </w:r>
          </w:p>
        </w:tc>
        <w:tc>
          <w:tcPr>
            <w:tcW w:w="201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384</w:t>
            </w:r>
          </w:p>
        </w:tc>
      </w:tr>
      <w:tr w:rsidR="00A209E1" w:rsidTr="00A209E1">
        <w:trPr>
          <w:trHeight w:val="255"/>
          <w:tblCellSpacing w:w="0" w:type="dxa"/>
        </w:trPr>
        <w:tc>
          <w:tcPr>
            <w:tcW w:w="180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2002</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230</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522</w:t>
            </w:r>
          </w:p>
        </w:tc>
        <w:tc>
          <w:tcPr>
            <w:tcW w:w="186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-292</w:t>
            </w:r>
          </w:p>
        </w:tc>
        <w:tc>
          <w:tcPr>
            <w:tcW w:w="201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752</w:t>
            </w:r>
          </w:p>
        </w:tc>
      </w:tr>
      <w:tr w:rsidR="00A209E1" w:rsidTr="00A209E1">
        <w:trPr>
          <w:trHeight w:val="255"/>
          <w:tblCellSpacing w:w="0" w:type="dxa"/>
        </w:trPr>
        <w:tc>
          <w:tcPr>
            <w:tcW w:w="180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2003</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130</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753</w:t>
            </w:r>
          </w:p>
        </w:tc>
        <w:tc>
          <w:tcPr>
            <w:tcW w:w="186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-622</w:t>
            </w:r>
          </w:p>
        </w:tc>
        <w:tc>
          <w:tcPr>
            <w:tcW w:w="201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883</w:t>
            </w:r>
          </w:p>
        </w:tc>
      </w:tr>
      <w:tr w:rsidR="00A209E1" w:rsidTr="00A209E1">
        <w:trPr>
          <w:trHeight w:val="255"/>
          <w:tblCellSpacing w:w="0" w:type="dxa"/>
        </w:trPr>
        <w:tc>
          <w:tcPr>
            <w:tcW w:w="180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2004</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163</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1.206</w:t>
            </w:r>
          </w:p>
        </w:tc>
        <w:tc>
          <w:tcPr>
            <w:tcW w:w="186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-1.044</w:t>
            </w:r>
          </w:p>
        </w:tc>
        <w:tc>
          <w:tcPr>
            <w:tcW w:w="201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1.369</w:t>
            </w:r>
          </w:p>
        </w:tc>
      </w:tr>
      <w:tr w:rsidR="00A209E1" w:rsidTr="00A209E1">
        <w:trPr>
          <w:trHeight w:val="255"/>
          <w:tblCellSpacing w:w="0" w:type="dxa"/>
        </w:trPr>
        <w:tc>
          <w:tcPr>
            <w:tcW w:w="180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2005</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78</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1.530</w:t>
            </w:r>
          </w:p>
        </w:tc>
        <w:tc>
          <w:tcPr>
            <w:tcW w:w="186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-1.453</w:t>
            </w:r>
          </w:p>
        </w:tc>
        <w:tc>
          <w:tcPr>
            <w:tcW w:w="201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1.608</w:t>
            </w:r>
          </w:p>
        </w:tc>
      </w:tr>
      <w:tr w:rsidR="00A209E1" w:rsidTr="00A209E1">
        <w:trPr>
          <w:trHeight w:val="255"/>
          <w:tblCellSpacing w:w="0" w:type="dxa"/>
        </w:trPr>
        <w:tc>
          <w:tcPr>
            <w:tcW w:w="180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2006</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80</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1.649</w:t>
            </w:r>
          </w:p>
        </w:tc>
        <w:tc>
          <w:tcPr>
            <w:tcW w:w="186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-1.569</w:t>
            </w:r>
          </w:p>
        </w:tc>
        <w:tc>
          <w:tcPr>
            <w:tcW w:w="201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1.729</w:t>
            </w:r>
          </w:p>
        </w:tc>
      </w:tr>
      <w:tr w:rsidR="00A209E1" w:rsidTr="00A209E1">
        <w:trPr>
          <w:trHeight w:val="255"/>
          <w:tblCellSpacing w:w="0" w:type="dxa"/>
        </w:trPr>
        <w:tc>
          <w:tcPr>
            <w:tcW w:w="180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2007</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95</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1.884</w:t>
            </w:r>
          </w:p>
        </w:tc>
        <w:tc>
          <w:tcPr>
            <w:tcW w:w="186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-1.790</w:t>
            </w:r>
          </w:p>
        </w:tc>
        <w:tc>
          <w:tcPr>
            <w:tcW w:w="201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1.979</w:t>
            </w:r>
          </w:p>
        </w:tc>
      </w:tr>
      <w:tr w:rsidR="00A209E1" w:rsidTr="00A209E1">
        <w:trPr>
          <w:trHeight w:val="255"/>
          <w:tblCellSpacing w:w="0" w:type="dxa"/>
        </w:trPr>
        <w:tc>
          <w:tcPr>
            <w:tcW w:w="180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2008</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97</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1.684</w:t>
            </w:r>
          </w:p>
        </w:tc>
        <w:tc>
          <w:tcPr>
            <w:tcW w:w="186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-1.586</w:t>
            </w:r>
          </w:p>
        </w:tc>
        <w:tc>
          <w:tcPr>
            <w:tcW w:w="201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1.781</w:t>
            </w:r>
          </w:p>
        </w:tc>
      </w:tr>
      <w:tr w:rsidR="00A209E1" w:rsidTr="00A209E1">
        <w:trPr>
          <w:trHeight w:val="255"/>
          <w:tblCellSpacing w:w="0" w:type="dxa"/>
        </w:trPr>
        <w:tc>
          <w:tcPr>
            <w:tcW w:w="180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2009</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130</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1.342</w:t>
            </w:r>
          </w:p>
        </w:tc>
        <w:tc>
          <w:tcPr>
            <w:tcW w:w="186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-1.212</w:t>
            </w:r>
          </w:p>
        </w:tc>
        <w:tc>
          <w:tcPr>
            <w:tcW w:w="201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1.473</w:t>
            </w:r>
          </w:p>
        </w:tc>
      </w:tr>
      <w:tr w:rsidR="00A209E1" w:rsidTr="00A209E1">
        <w:trPr>
          <w:trHeight w:val="255"/>
          <w:tblCellSpacing w:w="0" w:type="dxa"/>
        </w:trPr>
        <w:tc>
          <w:tcPr>
            <w:tcW w:w="180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2010</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137</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1.843</w:t>
            </w:r>
          </w:p>
        </w:tc>
        <w:tc>
          <w:tcPr>
            <w:tcW w:w="186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-1.706</w:t>
            </w:r>
          </w:p>
        </w:tc>
        <w:tc>
          <w:tcPr>
            <w:tcW w:w="201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1.980</w:t>
            </w:r>
          </w:p>
        </w:tc>
      </w:tr>
      <w:tr w:rsidR="00A209E1" w:rsidTr="00A209E1">
        <w:trPr>
          <w:trHeight w:val="255"/>
          <w:tblCellSpacing w:w="0" w:type="dxa"/>
        </w:trPr>
        <w:tc>
          <w:tcPr>
            <w:tcW w:w="180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2011</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164</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2.025</w:t>
            </w:r>
          </w:p>
        </w:tc>
        <w:tc>
          <w:tcPr>
            <w:tcW w:w="186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-1.861</w:t>
            </w:r>
          </w:p>
        </w:tc>
        <w:tc>
          <w:tcPr>
            <w:tcW w:w="201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2.189</w:t>
            </w:r>
          </w:p>
        </w:tc>
      </w:tr>
      <w:tr w:rsidR="00A209E1" w:rsidTr="00A209E1">
        <w:trPr>
          <w:trHeight w:val="255"/>
          <w:tblCellSpacing w:w="0" w:type="dxa"/>
        </w:trPr>
        <w:tc>
          <w:tcPr>
            <w:tcW w:w="180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2012</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119</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2.059</w:t>
            </w:r>
          </w:p>
        </w:tc>
        <w:tc>
          <w:tcPr>
            <w:tcW w:w="186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-1.940</w:t>
            </w:r>
          </w:p>
        </w:tc>
        <w:tc>
          <w:tcPr>
            <w:tcW w:w="201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2.178</w:t>
            </w:r>
          </w:p>
        </w:tc>
      </w:tr>
      <w:tr w:rsidR="00A209E1" w:rsidTr="00A209E1">
        <w:trPr>
          <w:trHeight w:val="255"/>
          <w:tblCellSpacing w:w="0" w:type="dxa"/>
        </w:trPr>
        <w:tc>
          <w:tcPr>
            <w:tcW w:w="180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2013</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118</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1.947</w:t>
            </w:r>
          </w:p>
        </w:tc>
        <w:tc>
          <w:tcPr>
            <w:tcW w:w="186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-1.829</w:t>
            </w:r>
          </w:p>
        </w:tc>
        <w:tc>
          <w:tcPr>
            <w:tcW w:w="201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2.065</w:t>
            </w:r>
          </w:p>
        </w:tc>
      </w:tr>
      <w:tr w:rsidR="00A209E1" w:rsidTr="00A209E1">
        <w:trPr>
          <w:trHeight w:val="255"/>
          <w:tblCellSpacing w:w="0" w:type="dxa"/>
        </w:trPr>
        <w:tc>
          <w:tcPr>
            <w:tcW w:w="180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2014</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132,9</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2.011,3</w:t>
            </w:r>
          </w:p>
        </w:tc>
        <w:tc>
          <w:tcPr>
            <w:tcW w:w="186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2.144,1</w:t>
            </w:r>
          </w:p>
        </w:tc>
        <w:tc>
          <w:tcPr>
            <w:tcW w:w="201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-1.878,4</w:t>
            </w:r>
          </w:p>
        </w:tc>
      </w:tr>
      <w:tr w:rsidR="00A209E1" w:rsidTr="00A209E1">
        <w:trPr>
          <w:trHeight w:val="255"/>
          <w:tblCellSpacing w:w="0" w:type="dxa"/>
        </w:trPr>
        <w:tc>
          <w:tcPr>
            <w:tcW w:w="180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2014*</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93,0</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1.463,9</w:t>
            </w:r>
          </w:p>
        </w:tc>
        <w:tc>
          <w:tcPr>
            <w:tcW w:w="186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1.566,9</w:t>
            </w:r>
          </w:p>
        </w:tc>
        <w:tc>
          <w:tcPr>
            <w:tcW w:w="201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-1.370,9</w:t>
            </w:r>
          </w:p>
        </w:tc>
      </w:tr>
      <w:tr w:rsidR="00A209E1" w:rsidTr="00A209E1">
        <w:trPr>
          <w:trHeight w:val="255"/>
          <w:tblCellSpacing w:w="0" w:type="dxa"/>
        </w:trPr>
        <w:tc>
          <w:tcPr>
            <w:tcW w:w="180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2015*</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122,4</w:t>
            </w:r>
          </w:p>
        </w:tc>
        <w:tc>
          <w:tcPr>
            <w:tcW w:w="1935"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1.455,5</w:t>
            </w:r>
          </w:p>
        </w:tc>
        <w:tc>
          <w:tcPr>
            <w:tcW w:w="186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-1.578,0</w:t>
            </w:r>
          </w:p>
        </w:tc>
        <w:tc>
          <w:tcPr>
            <w:tcW w:w="2010" w:type="dxa"/>
            <w:tcBorders>
              <w:top w:val="outset" w:sz="6" w:space="0" w:color="auto"/>
              <w:left w:val="outset" w:sz="6" w:space="0" w:color="auto"/>
              <w:bottom w:val="outset" w:sz="6" w:space="0" w:color="auto"/>
              <w:right w:val="outset" w:sz="6" w:space="0" w:color="auto"/>
            </w:tcBorders>
            <w:noWrap/>
            <w:vAlign w:val="center"/>
            <w:hideMark/>
          </w:tcPr>
          <w:p w:rsidR="00A209E1" w:rsidRDefault="00A209E1">
            <w:pPr>
              <w:pStyle w:val="NormalWeb"/>
            </w:pPr>
            <w:r>
              <w:t>-1.333,1</w:t>
            </w:r>
          </w:p>
        </w:tc>
      </w:tr>
    </w:tbl>
    <w:p w:rsidR="00A209E1" w:rsidRDefault="00A209E1" w:rsidP="00A209E1">
      <w:pPr>
        <w:pStyle w:val="NormalWeb"/>
      </w:pPr>
      <w:r>
        <w:rPr>
          <w:rStyle w:val="Gl"/>
        </w:rPr>
        <w:t>Kaynak:</w:t>
      </w:r>
      <w:r>
        <w:t xml:space="preserve"> TUİK (* 9 Aylık)</w:t>
      </w:r>
    </w:p>
    <w:p w:rsidR="00A209E1" w:rsidRDefault="00A209E1" w:rsidP="00A209E1">
      <w:pPr>
        <w:pStyle w:val="NormalWeb"/>
      </w:pPr>
      <w:r>
        <w:rPr>
          <w:rStyle w:val="Gl"/>
        </w:rPr>
        <w:t>İhracat</w:t>
      </w:r>
    </w:p>
    <w:p w:rsidR="00A209E1" w:rsidRDefault="00A209E1" w:rsidP="00A209E1">
      <w:pPr>
        <w:pStyle w:val="NormalWeb"/>
        <w:jc w:val="both"/>
      </w:pPr>
      <w:r>
        <w:t>Türkiye’nin Tayvan’a ihracatı 2002 yılında zirveye çıktığı 230 milyon Amerikan doları seviyesine kadar,  yıllar itibariyle genel olarak artış göstermiştir. 2002 yılından itibaren bir düşüş eğilimine girerek 2005 yılında 78 milyon Amerikan doları seviyesine kadar gerilemiştir. 2005 yılından itibaren tekrar yükselmeye başlayarak 2011 yılında 164 milyon Amerikan dolarına ulaşmıştır. 2014 yılına gelindiğinde Türkiye’nin Tayvan’a ihracatı 132,9 milyon Amerikan dolarına ulaşmıştır. Fakat bu seviye gerek Tayvan’ın ithalat potansiyeli gerek Türkiye'nin üretim ve ihracat kapasitesi dikkate alındığında yeterli görülmemektedir.</w:t>
      </w:r>
    </w:p>
    <w:p w:rsidR="00A209E1" w:rsidRDefault="00A209E1" w:rsidP="00A209E1">
      <w:pPr>
        <w:pStyle w:val="NormalWeb"/>
        <w:jc w:val="both"/>
      </w:pPr>
      <w:proofErr w:type="gramStart"/>
      <w:r>
        <w:t xml:space="preserve">270 milyar Amerikan dolarını aşan ithalat potansiyeline sahip olan ve yüksek kişi başına düşen milli geliri ile iç tüketime dayalı büyüme sürecine geçmeye çalışan Tayvan’a yönelik Türkiye’nin ihracatının yeterli bir seviyeye ulaşamamasının temel nedenleri olarak, bu ülkedeki tüketim eğilimleri ile pazar farklılığı, Tayvan pazarının “kendine özgü” yapısı, bölge içi (Güneydoğu Asya ve Pasifik) ticaretin çok güçlü olması, Tayvan’ın başta Çin ve Japonya olmak üzere önemli küresel ticaret ülkeleri ve blokları tarafından çevrelenmesi, Türkiye ile Tayvan arasında özel ticaret anlaşmalarının bulunmaması ve karşılıklı yatırım ilişkilerinin </w:t>
      </w:r>
      <w:r>
        <w:lastRenderedPageBreak/>
        <w:t>yeterince gelişmemiş olması ve ihracatçılarımızın Tayvan ve Asya-Pasifik bölgesine yönelik sistematik çalışmalar yürütmemesi gösterilebilir.</w:t>
      </w:r>
      <w:proofErr w:type="gramEnd"/>
    </w:p>
    <w:p w:rsidR="00A209E1" w:rsidRDefault="00A209E1" w:rsidP="00A209E1">
      <w:pPr>
        <w:pStyle w:val="NormalWeb"/>
        <w:jc w:val="both"/>
      </w:pPr>
      <w:r>
        <w:t>Türkiye’nin Tayvan’a ihracatının yapısı incelendiğinde diğer Doğu Asya ülkeleriyle benzerlikler dikkati çekmektedir. Tayvan ekonomisinin ihtiyaç duyduğu hammaddeler ve kimyasallar ağırlıklı bir yapının olduğu görülmektedir. Bu kapsamda, mermer ve doğal taş, demir, bakır ve krom cevherleri ve diğer kimyasallar Türkiye’nin Tayvan’a temel ihraç ürünlerini oluşturmaktadır. Bununla birlikte, oto yedek parçaları, bazı elektrikli cihazlar, çeşitli makineler (yıkama makinesi, iş makinesi vb.), deri, yün, yumuşakçalar, makarna, meyve ve bitki parçaları konserveleri, boru ve hortumlar, lastik, tütün ve mamulleri gibi bazı ürün gruplarının ihracatında da gelişmeler gözlemlenmektedir.</w:t>
      </w:r>
    </w:p>
    <w:p w:rsidR="00A209E1" w:rsidRDefault="00A209E1" w:rsidP="00A209E1">
      <w:pPr>
        <w:pStyle w:val="NormalWeb"/>
        <w:jc w:val="both"/>
      </w:pPr>
      <w:r>
        <w:t> Tablo 6: Türkiye’nin Tayvan’a İhracatında Başlıca Ürünler (bin $)</w:t>
      </w:r>
    </w:p>
    <w:tbl>
      <w:tblPr>
        <w:tblW w:w="934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1"/>
        <w:gridCol w:w="5239"/>
        <w:gridCol w:w="1070"/>
        <w:gridCol w:w="1070"/>
        <w:gridCol w:w="1175"/>
      </w:tblGrid>
      <w:tr w:rsidR="00A209E1" w:rsidTr="00A209E1">
        <w:trPr>
          <w:trHeight w:val="300"/>
          <w:tblCellSpacing w:w="0" w:type="dxa"/>
        </w:trPr>
        <w:tc>
          <w:tcPr>
            <w:tcW w:w="795" w:type="dxa"/>
            <w:vAlign w:val="center"/>
            <w:hideMark/>
          </w:tcPr>
          <w:p w:rsidR="00A209E1" w:rsidRDefault="00A209E1">
            <w:pPr>
              <w:pStyle w:val="NormalWeb"/>
              <w:jc w:val="center"/>
            </w:pPr>
            <w:r>
              <w:rPr>
                <w:rStyle w:val="Gl"/>
              </w:rPr>
              <w:t>GTİP</w:t>
            </w:r>
          </w:p>
        </w:tc>
        <w:tc>
          <w:tcPr>
            <w:tcW w:w="5310" w:type="dxa"/>
            <w:vAlign w:val="center"/>
            <w:hideMark/>
          </w:tcPr>
          <w:p w:rsidR="00A209E1" w:rsidRDefault="00A209E1">
            <w:pPr>
              <w:pStyle w:val="NormalWeb"/>
            </w:pPr>
            <w:r>
              <w:rPr>
                <w:rStyle w:val="Gl"/>
              </w:rPr>
              <w:t>ÜRÜNLER</w:t>
            </w:r>
          </w:p>
        </w:tc>
        <w:tc>
          <w:tcPr>
            <w:tcW w:w="1050" w:type="dxa"/>
            <w:vAlign w:val="center"/>
            <w:hideMark/>
          </w:tcPr>
          <w:p w:rsidR="00A209E1" w:rsidRDefault="00A209E1">
            <w:pPr>
              <w:pStyle w:val="NormalWeb"/>
              <w:jc w:val="center"/>
            </w:pPr>
            <w:r>
              <w:rPr>
                <w:rStyle w:val="Gl"/>
              </w:rPr>
              <w:t>2012</w:t>
            </w:r>
          </w:p>
        </w:tc>
        <w:tc>
          <w:tcPr>
            <w:tcW w:w="1050" w:type="dxa"/>
            <w:vAlign w:val="center"/>
            <w:hideMark/>
          </w:tcPr>
          <w:p w:rsidR="00A209E1" w:rsidRDefault="00A209E1">
            <w:pPr>
              <w:pStyle w:val="NormalWeb"/>
              <w:jc w:val="center"/>
            </w:pPr>
            <w:r>
              <w:rPr>
                <w:rStyle w:val="Gl"/>
              </w:rPr>
              <w:t>2013</w:t>
            </w:r>
          </w:p>
        </w:tc>
        <w:tc>
          <w:tcPr>
            <w:tcW w:w="1155" w:type="dxa"/>
            <w:vAlign w:val="center"/>
            <w:hideMark/>
          </w:tcPr>
          <w:p w:rsidR="00A209E1" w:rsidRDefault="00A209E1">
            <w:pPr>
              <w:pStyle w:val="NormalWeb"/>
              <w:jc w:val="center"/>
            </w:pPr>
            <w:r>
              <w:rPr>
                <w:rStyle w:val="Gl"/>
              </w:rPr>
              <w:t>2014</w:t>
            </w:r>
          </w:p>
        </w:tc>
      </w:tr>
      <w:tr w:rsidR="00A209E1" w:rsidTr="00A209E1">
        <w:trPr>
          <w:trHeight w:val="300"/>
          <w:tblCellSpacing w:w="0" w:type="dxa"/>
        </w:trPr>
        <w:tc>
          <w:tcPr>
            <w:tcW w:w="795" w:type="dxa"/>
            <w:vAlign w:val="center"/>
            <w:hideMark/>
          </w:tcPr>
          <w:p w:rsidR="00A209E1" w:rsidRDefault="00A209E1">
            <w:pPr>
              <w:pStyle w:val="NormalWeb"/>
              <w:jc w:val="center"/>
            </w:pPr>
            <w:r>
              <w:t>2515</w:t>
            </w:r>
          </w:p>
        </w:tc>
        <w:tc>
          <w:tcPr>
            <w:tcW w:w="5310" w:type="dxa"/>
            <w:vAlign w:val="center"/>
            <w:hideMark/>
          </w:tcPr>
          <w:p w:rsidR="00A209E1" w:rsidRDefault="00A209E1">
            <w:pPr>
              <w:pStyle w:val="NormalWeb"/>
            </w:pPr>
            <w:r>
              <w:t xml:space="preserve">Mermer ve traverten, </w:t>
            </w:r>
            <w:proofErr w:type="spellStart"/>
            <w:r>
              <w:t>ekosin</w:t>
            </w:r>
            <w:proofErr w:type="spellEnd"/>
            <w:r>
              <w:t>, su mermeri, kireçli taşlar</w:t>
            </w:r>
          </w:p>
        </w:tc>
        <w:tc>
          <w:tcPr>
            <w:tcW w:w="1050" w:type="dxa"/>
            <w:noWrap/>
            <w:vAlign w:val="center"/>
            <w:hideMark/>
          </w:tcPr>
          <w:p w:rsidR="00A209E1" w:rsidRDefault="00A209E1">
            <w:pPr>
              <w:pStyle w:val="NormalWeb"/>
              <w:jc w:val="center"/>
            </w:pPr>
            <w:r>
              <w:t>22,6</w:t>
            </w:r>
          </w:p>
        </w:tc>
        <w:tc>
          <w:tcPr>
            <w:tcW w:w="1050" w:type="dxa"/>
            <w:noWrap/>
            <w:vAlign w:val="center"/>
            <w:hideMark/>
          </w:tcPr>
          <w:p w:rsidR="00A209E1" w:rsidRDefault="00A209E1">
            <w:pPr>
              <w:pStyle w:val="NormalWeb"/>
              <w:jc w:val="center"/>
            </w:pPr>
            <w:r>
              <w:t>19,9</w:t>
            </w:r>
          </w:p>
        </w:tc>
        <w:tc>
          <w:tcPr>
            <w:tcW w:w="1155" w:type="dxa"/>
            <w:noWrap/>
            <w:vAlign w:val="center"/>
            <w:hideMark/>
          </w:tcPr>
          <w:p w:rsidR="00A209E1" w:rsidRDefault="00A209E1">
            <w:pPr>
              <w:pStyle w:val="NormalWeb"/>
              <w:jc w:val="center"/>
            </w:pPr>
            <w:r>
              <w:t>19,6</w:t>
            </w:r>
          </w:p>
        </w:tc>
      </w:tr>
      <w:tr w:rsidR="00A209E1" w:rsidTr="00A209E1">
        <w:trPr>
          <w:trHeight w:val="300"/>
          <w:tblCellSpacing w:w="0" w:type="dxa"/>
        </w:trPr>
        <w:tc>
          <w:tcPr>
            <w:tcW w:w="795" w:type="dxa"/>
            <w:vAlign w:val="center"/>
            <w:hideMark/>
          </w:tcPr>
          <w:p w:rsidR="00A209E1" w:rsidRDefault="00A209E1">
            <w:pPr>
              <w:pStyle w:val="NormalWeb"/>
              <w:jc w:val="center"/>
            </w:pPr>
            <w:r>
              <w:t>2528</w:t>
            </w:r>
          </w:p>
        </w:tc>
        <w:tc>
          <w:tcPr>
            <w:tcW w:w="5310" w:type="dxa"/>
            <w:vAlign w:val="center"/>
            <w:hideMark/>
          </w:tcPr>
          <w:p w:rsidR="00A209E1" w:rsidRDefault="00A209E1">
            <w:pPr>
              <w:pStyle w:val="NormalWeb"/>
            </w:pPr>
            <w:r>
              <w:t xml:space="preserve">Tabii boratlar ve bunların </w:t>
            </w:r>
            <w:proofErr w:type="gramStart"/>
            <w:r>
              <w:t>konsantreleri</w:t>
            </w:r>
            <w:proofErr w:type="gramEnd"/>
          </w:p>
        </w:tc>
        <w:tc>
          <w:tcPr>
            <w:tcW w:w="1050" w:type="dxa"/>
            <w:noWrap/>
            <w:vAlign w:val="center"/>
            <w:hideMark/>
          </w:tcPr>
          <w:p w:rsidR="00A209E1" w:rsidRDefault="00A209E1">
            <w:pPr>
              <w:pStyle w:val="NormalWeb"/>
              <w:jc w:val="center"/>
            </w:pPr>
            <w:r>
              <w:t>18,7</w:t>
            </w:r>
          </w:p>
        </w:tc>
        <w:tc>
          <w:tcPr>
            <w:tcW w:w="1050" w:type="dxa"/>
            <w:noWrap/>
            <w:vAlign w:val="center"/>
            <w:hideMark/>
          </w:tcPr>
          <w:p w:rsidR="00A209E1" w:rsidRDefault="00A209E1">
            <w:pPr>
              <w:pStyle w:val="NormalWeb"/>
              <w:jc w:val="center"/>
            </w:pPr>
            <w:r>
              <w:t>18,1</w:t>
            </w:r>
          </w:p>
        </w:tc>
        <w:tc>
          <w:tcPr>
            <w:tcW w:w="1155" w:type="dxa"/>
            <w:noWrap/>
            <w:vAlign w:val="center"/>
            <w:hideMark/>
          </w:tcPr>
          <w:p w:rsidR="00A209E1" w:rsidRDefault="00A209E1">
            <w:pPr>
              <w:pStyle w:val="NormalWeb"/>
              <w:jc w:val="center"/>
            </w:pPr>
            <w:r>
              <w:t>18,7</w:t>
            </w:r>
          </w:p>
        </w:tc>
      </w:tr>
      <w:tr w:rsidR="00A209E1" w:rsidTr="00A209E1">
        <w:trPr>
          <w:trHeight w:val="300"/>
          <w:tblCellSpacing w:w="0" w:type="dxa"/>
        </w:trPr>
        <w:tc>
          <w:tcPr>
            <w:tcW w:w="795" w:type="dxa"/>
            <w:vAlign w:val="center"/>
            <w:hideMark/>
          </w:tcPr>
          <w:p w:rsidR="00A209E1" w:rsidRDefault="00A209E1">
            <w:pPr>
              <w:pStyle w:val="NormalWeb"/>
              <w:jc w:val="center"/>
            </w:pPr>
            <w:r>
              <w:t>2603</w:t>
            </w:r>
          </w:p>
        </w:tc>
        <w:tc>
          <w:tcPr>
            <w:tcW w:w="5310" w:type="dxa"/>
            <w:vAlign w:val="center"/>
            <w:hideMark/>
          </w:tcPr>
          <w:p w:rsidR="00A209E1" w:rsidRDefault="00A209E1">
            <w:pPr>
              <w:pStyle w:val="NormalWeb"/>
            </w:pPr>
            <w:r>
              <w:t xml:space="preserve">Bakır cevherleri ve </w:t>
            </w:r>
            <w:proofErr w:type="gramStart"/>
            <w:r>
              <w:t>konsantreleri</w:t>
            </w:r>
            <w:proofErr w:type="gramEnd"/>
          </w:p>
        </w:tc>
        <w:tc>
          <w:tcPr>
            <w:tcW w:w="1050" w:type="dxa"/>
            <w:noWrap/>
            <w:vAlign w:val="center"/>
            <w:hideMark/>
          </w:tcPr>
          <w:p w:rsidR="00A209E1" w:rsidRDefault="00A209E1">
            <w:pPr>
              <w:pStyle w:val="NormalWeb"/>
              <w:jc w:val="center"/>
            </w:pPr>
            <w:r>
              <w:t>8,6</w:t>
            </w:r>
          </w:p>
        </w:tc>
        <w:tc>
          <w:tcPr>
            <w:tcW w:w="1050" w:type="dxa"/>
            <w:noWrap/>
            <w:vAlign w:val="center"/>
            <w:hideMark/>
          </w:tcPr>
          <w:p w:rsidR="00A209E1" w:rsidRDefault="00A209E1">
            <w:pPr>
              <w:pStyle w:val="NormalWeb"/>
              <w:jc w:val="center"/>
            </w:pPr>
            <w:r>
              <w:t>3,6</w:t>
            </w:r>
          </w:p>
        </w:tc>
        <w:tc>
          <w:tcPr>
            <w:tcW w:w="1155" w:type="dxa"/>
            <w:noWrap/>
            <w:vAlign w:val="center"/>
            <w:hideMark/>
          </w:tcPr>
          <w:p w:rsidR="00A209E1" w:rsidRDefault="00A209E1">
            <w:pPr>
              <w:pStyle w:val="NormalWeb"/>
              <w:jc w:val="center"/>
            </w:pPr>
            <w:r>
              <w:t>10,8</w:t>
            </w:r>
          </w:p>
        </w:tc>
      </w:tr>
      <w:tr w:rsidR="00A209E1" w:rsidTr="00A209E1">
        <w:trPr>
          <w:trHeight w:val="450"/>
          <w:tblCellSpacing w:w="0" w:type="dxa"/>
        </w:trPr>
        <w:tc>
          <w:tcPr>
            <w:tcW w:w="795" w:type="dxa"/>
            <w:vAlign w:val="center"/>
            <w:hideMark/>
          </w:tcPr>
          <w:p w:rsidR="00A209E1" w:rsidRDefault="00A209E1">
            <w:pPr>
              <w:pStyle w:val="NormalWeb"/>
              <w:jc w:val="center"/>
            </w:pPr>
            <w:r>
              <w:t>8703</w:t>
            </w:r>
          </w:p>
        </w:tc>
        <w:tc>
          <w:tcPr>
            <w:tcW w:w="5310" w:type="dxa"/>
            <w:vAlign w:val="center"/>
            <w:hideMark/>
          </w:tcPr>
          <w:p w:rsidR="00A209E1" w:rsidRDefault="00A209E1">
            <w:pPr>
              <w:pStyle w:val="NormalWeb"/>
            </w:pPr>
            <w:r>
              <w:t xml:space="preserve">Binek otomobilleri ve esas itibariyle insan taşımak üzere imal edilmiş diğer motorlu taşıtlar </w:t>
            </w:r>
            <w:proofErr w:type="gramStart"/>
            <w:r>
              <w:t>(</w:t>
            </w:r>
            <w:proofErr w:type="gramEnd"/>
            <w:r>
              <w:t>yarış</w:t>
            </w:r>
          </w:p>
        </w:tc>
        <w:tc>
          <w:tcPr>
            <w:tcW w:w="1050" w:type="dxa"/>
            <w:noWrap/>
            <w:vAlign w:val="center"/>
            <w:hideMark/>
          </w:tcPr>
          <w:p w:rsidR="00A209E1" w:rsidRDefault="00A209E1">
            <w:pPr>
              <w:pStyle w:val="NormalWeb"/>
              <w:jc w:val="center"/>
            </w:pPr>
            <w:r>
              <w:t>0,0</w:t>
            </w:r>
          </w:p>
        </w:tc>
        <w:tc>
          <w:tcPr>
            <w:tcW w:w="1050" w:type="dxa"/>
            <w:noWrap/>
            <w:vAlign w:val="center"/>
            <w:hideMark/>
          </w:tcPr>
          <w:p w:rsidR="00A209E1" w:rsidRDefault="00A209E1">
            <w:pPr>
              <w:pStyle w:val="NormalWeb"/>
              <w:jc w:val="center"/>
            </w:pPr>
            <w:r>
              <w:t>0,1</w:t>
            </w:r>
          </w:p>
        </w:tc>
        <w:tc>
          <w:tcPr>
            <w:tcW w:w="1155" w:type="dxa"/>
            <w:noWrap/>
            <w:vAlign w:val="center"/>
            <w:hideMark/>
          </w:tcPr>
          <w:p w:rsidR="00A209E1" w:rsidRDefault="00A209E1">
            <w:pPr>
              <w:pStyle w:val="NormalWeb"/>
              <w:jc w:val="center"/>
            </w:pPr>
            <w:r>
              <w:t>8,2</w:t>
            </w:r>
          </w:p>
        </w:tc>
      </w:tr>
      <w:tr w:rsidR="00A209E1" w:rsidTr="00A209E1">
        <w:trPr>
          <w:trHeight w:val="450"/>
          <w:tblCellSpacing w:w="0" w:type="dxa"/>
        </w:trPr>
        <w:tc>
          <w:tcPr>
            <w:tcW w:w="795" w:type="dxa"/>
            <w:vAlign w:val="center"/>
            <w:hideMark/>
          </w:tcPr>
          <w:p w:rsidR="00A209E1" w:rsidRDefault="00A209E1">
            <w:pPr>
              <w:pStyle w:val="NormalWeb"/>
              <w:jc w:val="center"/>
            </w:pPr>
            <w:r>
              <w:t>4107</w:t>
            </w:r>
          </w:p>
        </w:tc>
        <w:tc>
          <w:tcPr>
            <w:tcW w:w="5310" w:type="dxa"/>
            <w:vAlign w:val="center"/>
            <w:hideMark/>
          </w:tcPr>
          <w:p w:rsidR="00A209E1" w:rsidRDefault="00A209E1">
            <w:pPr>
              <w:pStyle w:val="NormalWeb"/>
            </w:pPr>
            <w:r>
              <w:t>Sığır (</w:t>
            </w:r>
            <w:proofErr w:type="spellStart"/>
            <w:r>
              <w:t>buffalo</w:t>
            </w:r>
            <w:proofErr w:type="spellEnd"/>
            <w:r>
              <w:t xml:space="preserve"> </w:t>
            </w:r>
            <w:proofErr w:type="gramStart"/>
            <w:r>
              <w:t>dahil</w:t>
            </w:r>
            <w:proofErr w:type="gramEnd"/>
            <w:r>
              <w:t xml:space="preserve">) ve atların </w:t>
            </w:r>
            <w:proofErr w:type="spellStart"/>
            <w:r>
              <w:t>dabaklanmış</w:t>
            </w:r>
            <w:proofErr w:type="spellEnd"/>
            <w:r>
              <w:t xml:space="preserve"> ve ileri derecede hazırlanmış post ve deri ve köselesi</w:t>
            </w:r>
          </w:p>
        </w:tc>
        <w:tc>
          <w:tcPr>
            <w:tcW w:w="1050" w:type="dxa"/>
            <w:noWrap/>
            <w:vAlign w:val="center"/>
            <w:hideMark/>
          </w:tcPr>
          <w:p w:rsidR="00A209E1" w:rsidRDefault="00A209E1">
            <w:pPr>
              <w:pStyle w:val="NormalWeb"/>
              <w:jc w:val="center"/>
            </w:pPr>
            <w:r>
              <w:t>1,8</w:t>
            </w:r>
          </w:p>
        </w:tc>
        <w:tc>
          <w:tcPr>
            <w:tcW w:w="1050" w:type="dxa"/>
            <w:noWrap/>
            <w:vAlign w:val="center"/>
            <w:hideMark/>
          </w:tcPr>
          <w:p w:rsidR="00A209E1" w:rsidRDefault="00A209E1">
            <w:pPr>
              <w:pStyle w:val="NormalWeb"/>
              <w:jc w:val="center"/>
            </w:pPr>
            <w:r>
              <w:t>1,3</w:t>
            </w:r>
          </w:p>
        </w:tc>
        <w:tc>
          <w:tcPr>
            <w:tcW w:w="1155" w:type="dxa"/>
            <w:noWrap/>
            <w:vAlign w:val="center"/>
            <w:hideMark/>
          </w:tcPr>
          <w:p w:rsidR="00A209E1" w:rsidRDefault="00A209E1">
            <w:pPr>
              <w:pStyle w:val="NormalWeb"/>
              <w:jc w:val="center"/>
            </w:pPr>
            <w:r>
              <w:t>6,0</w:t>
            </w:r>
          </w:p>
        </w:tc>
      </w:tr>
      <w:tr w:rsidR="00A209E1" w:rsidTr="00A209E1">
        <w:trPr>
          <w:trHeight w:val="450"/>
          <w:tblCellSpacing w:w="0" w:type="dxa"/>
        </w:trPr>
        <w:tc>
          <w:tcPr>
            <w:tcW w:w="795" w:type="dxa"/>
            <w:vAlign w:val="center"/>
            <w:hideMark/>
          </w:tcPr>
          <w:p w:rsidR="00A209E1" w:rsidRDefault="00A209E1">
            <w:pPr>
              <w:pStyle w:val="NormalWeb"/>
              <w:jc w:val="center"/>
            </w:pPr>
            <w:r>
              <w:t>5402</w:t>
            </w:r>
          </w:p>
        </w:tc>
        <w:tc>
          <w:tcPr>
            <w:tcW w:w="5310" w:type="dxa"/>
            <w:vAlign w:val="center"/>
            <w:hideMark/>
          </w:tcPr>
          <w:p w:rsidR="00A209E1" w:rsidRDefault="00A209E1">
            <w:pPr>
              <w:pStyle w:val="NormalWeb"/>
            </w:pPr>
            <w:r>
              <w:t xml:space="preserve">Sentetik </w:t>
            </w:r>
            <w:proofErr w:type="spellStart"/>
            <w:r>
              <w:t>filament</w:t>
            </w:r>
            <w:proofErr w:type="spellEnd"/>
            <w:r>
              <w:t xml:space="preserve"> iplikleri (dikiş ipliği hariç) (perakende olarak satılacak hale getirilmemiş)</w:t>
            </w:r>
          </w:p>
        </w:tc>
        <w:tc>
          <w:tcPr>
            <w:tcW w:w="1050" w:type="dxa"/>
            <w:noWrap/>
            <w:vAlign w:val="center"/>
            <w:hideMark/>
          </w:tcPr>
          <w:p w:rsidR="00A209E1" w:rsidRDefault="00A209E1">
            <w:pPr>
              <w:pStyle w:val="NormalWeb"/>
              <w:jc w:val="center"/>
            </w:pPr>
            <w:r>
              <w:t>1,4</w:t>
            </w:r>
          </w:p>
        </w:tc>
        <w:tc>
          <w:tcPr>
            <w:tcW w:w="1050" w:type="dxa"/>
            <w:noWrap/>
            <w:vAlign w:val="center"/>
            <w:hideMark/>
          </w:tcPr>
          <w:p w:rsidR="00A209E1" w:rsidRDefault="00A209E1">
            <w:pPr>
              <w:pStyle w:val="NormalWeb"/>
              <w:jc w:val="center"/>
            </w:pPr>
            <w:r>
              <w:t>14,5</w:t>
            </w:r>
          </w:p>
        </w:tc>
        <w:tc>
          <w:tcPr>
            <w:tcW w:w="1155" w:type="dxa"/>
            <w:noWrap/>
            <w:vAlign w:val="center"/>
            <w:hideMark/>
          </w:tcPr>
          <w:p w:rsidR="00A209E1" w:rsidRDefault="00A209E1">
            <w:pPr>
              <w:pStyle w:val="NormalWeb"/>
              <w:jc w:val="center"/>
            </w:pPr>
            <w:r>
              <w:t>6,0</w:t>
            </w:r>
          </w:p>
        </w:tc>
      </w:tr>
      <w:tr w:rsidR="00A209E1" w:rsidTr="00A209E1">
        <w:trPr>
          <w:trHeight w:val="300"/>
          <w:tblCellSpacing w:w="0" w:type="dxa"/>
        </w:trPr>
        <w:tc>
          <w:tcPr>
            <w:tcW w:w="795" w:type="dxa"/>
            <w:vAlign w:val="center"/>
            <w:hideMark/>
          </w:tcPr>
          <w:p w:rsidR="00A209E1" w:rsidRDefault="00A209E1">
            <w:pPr>
              <w:pStyle w:val="NormalWeb"/>
              <w:jc w:val="center"/>
            </w:pPr>
            <w:r>
              <w:t>1902</w:t>
            </w:r>
          </w:p>
        </w:tc>
        <w:tc>
          <w:tcPr>
            <w:tcW w:w="5310" w:type="dxa"/>
            <w:vAlign w:val="center"/>
            <w:hideMark/>
          </w:tcPr>
          <w:p w:rsidR="00A209E1" w:rsidRDefault="00A209E1">
            <w:pPr>
              <w:pStyle w:val="NormalWeb"/>
            </w:pPr>
            <w:r>
              <w:t>Makarnalar ve kuskus</w:t>
            </w:r>
          </w:p>
        </w:tc>
        <w:tc>
          <w:tcPr>
            <w:tcW w:w="1050" w:type="dxa"/>
            <w:noWrap/>
            <w:vAlign w:val="center"/>
            <w:hideMark/>
          </w:tcPr>
          <w:p w:rsidR="00A209E1" w:rsidRDefault="00A209E1">
            <w:pPr>
              <w:pStyle w:val="NormalWeb"/>
              <w:jc w:val="center"/>
            </w:pPr>
            <w:r>
              <w:t>2,7</w:t>
            </w:r>
          </w:p>
        </w:tc>
        <w:tc>
          <w:tcPr>
            <w:tcW w:w="1050" w:type="dxa"/>
            <w:noWrap/>
            <w:vAlign w:val="center"/>
            <w:hideMark/>
          </w:tcPr>
          <w:p w:rsidR="00A209E1" w:rsidRDefault="00A209E1">
            <w:pPr>
              <w:pStyle w:val="NormalWeb"/>
              <w:jc w:val="center"/>
            </w:pPr>
            <w:r>
              <w:t>2,5</w:t>
            </w:r>
          </w:p>
        </w:tc>
        <w:tc>
          <w:tcPr>
            <w:tcW w:w="1155" w:type="dxa"/>
            <w:noWrap/>
            <w:vAlign w:val="center"/>
            <w:hideMark/>
          </w:tcPr>
          <w:p w:rsidR="00A209E1" w:rsidRDefault="00A209E1">
            <w:pPr>
              <w:pStyle w:val="NormalWeb"/>
              <w:jc w:val="center"/>
            </w:pPr>
            <w:r>
              <w:t>2,9</w:t>
            </w:r>
          </w:p>
        </w:tc>
      </w:tr>
      <w:tr w:rsidR="00A209E1" w:rsidTr="00A209E1">
        <w:trPr>
          <w:trHeight w:val="450"/>
          <w:tblCellSpacing w:w="0" w:type="dxa"/>
        </w:trPr>
        <w:tc>
          <w:tcPr>
            <w:tcW w:w="795" w:type="dxa"/>
            <w:vAlign w:val="center"/>
            <w:hideMark/>
          </w:tcPr>
          <w:p w:rsidR="00A209E1" w:rsidRDefault="00A209E1">
            <w:pPr>
              <w:pStyle w:val="NormalWeb"/>
              <w:jc w:val="center"/>
            </w:pPr>
            <w:r>
              <w:t>0307</w:t>
            </w:r>
          </w:p>
        </w:tc>
        <w:tc>
          <w:tcPr>
            <w:tcW w:w="5310" w:type="dxa"/>
            <w:vAlign w:val="center"/>
            <w:hideMark/>
          </w:tcPr>
          <w:p w:rsidR="00A209E1" w:rsidRDefault="00A209E1">
            <w:pPr>
              <w:pStyle w:val="NormalWeb"/>
            </w:pPr>
            <w:r>
              <w:t>Yumuşakçalar (canlı, taze, soğutulmuş, dondurulmuş, kurutulmuş, tuzlanmış vs.)</w:t>
            </w:r>
          </w:p>
        </w:tc>
        <w:tc>
          <w:tcPr>
            <w:tcW w:w="1050" w:type="dxa"/>
            <w:noWrap/>
            <w:vAlign w:val="center"/>
            <w:hideMark/>
          </w:tcPr>
          <w:p w:rsidR="00A209E1" w:rsidRDefault="00A209E1">
            <w:pPr>
              <w:pStyle w:val="NormalWeb"/>
              <w:jc w:val="center"/>
            </w:pPr>
            <w:r>
              <w:t>1,6</w:t>
            </w:r>
          </w:p>
        </w:tc>
        <w:tc>
          <w:tcPr>
            <w:tcW w:w="1050" w:type="dxa"/>
            <w:noWrap/>
            <w:vAlign w:val="center"/>
            <w:hideMark/>
          </w:tcPr>
          <w:p w:rsidR="00A209E1" w:rsidRDefault="00A209E1">
            <w:pPr>
              <w:pStyle w:val="NormalWeb"/>
              <w:jc w:val="center"/>
            </w:pPr>
            <w:r>
              <w:t>2,1</w:t>
            </w:r>
          </w:p>
        </w:tc>
        <w:tc>
          <w:tcPr>
            <w:tcW w:w="1155" w:type="dxa"/>
            <w:noWrap/>
            <w:vAlign w:val="center"/>
            <w:hideMark/>
          </w:tcPr>
          <w:p w:rsidR="00A209E1" w:rsidRDefault="00A209E1">
            <w:pPr>
              <w:pStyle w:val="NormalWeb"/>
              <w:jc w:val="center"/>
            </w:pPr>
            <w:r>
              <w:t>2,9</w:t>
            </w:r>
          </w:p>
        </w:tc>
      </w:tr>
      <w:tr w:rsidR="00A209E1" w:rsidTr="00A209E1">
        <w:trPr>
          <w:trHeight w:val="300"/>
          <w:tblCellSpacing w:w="0" w:type="dxa"/>
        </w:trPr>
        <w:tc>
          <w:tcPr>
            <w:tcW w:w="795" w:type="dxa"/>
            <w:vAlign w:val="center"/>
            <w:hideMark/>
          </w:tcPr>
          <w:p w:rsidR="00A209E1" w:rsidRDefault="00A209E1">
            <w:pPr>
              <w:pStyle w:val="NormalWeb"/>
              <w:jc w:val="center"/>
            </w:pPr>
            <w:r>
              <w:t>6815</w:t>
            </w:r>
          </w:p>
        </w:tc>
        <w:tc>
          <w:tcPr>
            <w:tcW w:w="5310" w:type="dxa"/>
            <w:vAlign w:val="center"/>
            <w:hideMark/>
          </w:tcPr>
          <w:p w:rsidR="00A209E1" w:rsidRDefault="00A209E1">
            <w:pPr>
              <w:pStyle w:val="NormalWeb"/>
            </w:pPr>
            <w:r>
              <w:t>Taştan ve diğer minerallerden eşya</w:t>
            </w:r>
          </w:p>
        </w:tc>
        <w:tc>
          <w:tcPr>
            <w:tcW w:w="1050" w:type="dxa"/>
            <w:noWrap/>
            <w:vAlign w:val="center"/>
            <w:hideMark/>
          </w:tcPr>
          <w:p w:rsidR="00A209E1" w:rsidRDefault="00A209E1">
            <w:pPr>
              <w:pStyle w:val="NormalWeb"/>
              <w:jc w:val="center"/>
            </w:pPr>
            <w:r>
              <w:t>0,3</w:t>
            </w:r>
          </w:p>
        </w:tc>
        <w:tc>
          <w:tcPr>
            <w:tcW w:w="1050" w:type="dxa"/>
            <w:noWrap/>
            <w:vAlign w:val="center"/>
            <w:hideMark/>
          </w:tcPr>
          <w:p w:rsidR="00A209E1" w:rsidRDefault="00A209E1">
            <w:pPr>
              <w:pStyle w:val="NormalWeb"/>
              <w:jc w:val="center"/>
            </w:pPr>
            <w:r>
              <w:t>1,3</w:t>
            </w:r>
          </w:p>
        </w:tc>
        <w:tc>
          <w:tcPr>
            <w:tcW w:w="1155" w:type="dxa"/>
            <w:noWrap/>
            <w:vAlign w:val="center"/>
            <w:hideMark/>
          </w:tcPr>
          <w:p w:rsidR="00A209E1" w:rsidRDefault="00A209E1">
            <w:pPr>
              <w:pStyle w:val="NormalWeb"/>
              <w:jc w:val="center"/>
            </w:pPr>
            <w:r>
              <w:t>2,6</w:t>
            </w:r>
          </w:p>
        </w:tc>
      </w:tr>
      <w:tr w:rsidR="00A209E1" w:rsidTr="00A209E1">
        <w:trPr>
          <w:trHeight w:val="300"/>
          <w:tblCellSpacing w:w="0" w:type="dxa"/>
        </w:trPr>
        <w:tc>
          <w:tcPr>
            <w:tcW w:w="795" w:type="dxa"/>
            <w:vAlign w:val="center"/>
            <w:hideMark/>
          </w:tcPr>
          <w:p w:rsidR="00A209E1" w:rsidRDefault="00A209E1">
            <w:pPr>
              <w:pStyle w:val="NormalWeb"/>
              <w:jc w:val="center"/>
            </w:pPr>
            <w:r>
              <w:t>7202</w:t>
            </w:r>
          </w:p>
        </w:tc>
        <w:tc>
          <w:tcPr>
            <w:tcW w:w="5310" w:type="dxa"/>
            <w:vAlign w:val="center"/>
            <w:hideMark/>
          </w:tcPr>
          <w:p w:rsidR="00A209E1" w:rsidRDefault="00A209E1">
            <w:pPr>
              <w:pStyle w:val="NormalWeb"/>
            </w:pPr>
            <w:proofErr w:type="spellStart"/>
            <w:r>
              <w:t>Ferro</w:t>
            </w:r>
            <w:proofErr w:type="spellEnd"/>
            <w:r>
              <w:t xml:space="preserve"> </w:t>
            </w:r>
            <w:proofErr w:type="spellStart"/>
            <w:r>
              <w:t>alyajlar</w:t>
            </w:r>
            <w:proofErr w:type="spellEnd"/>
          </w:p>
        </w:tc>
        <w:tc>
          <w:tcPr>
            <w:tcW w:w="1050" w:type="dxa"/>
            <w:noWrap/>
            <w:vAlign w:val="center"/>
            <w:hideMark/>
          </w:tcPr>
          <w:p w:rsidR="00A209E1" w:rsidRDefault="00A209E1">
            <w:pPr>
              <w:pStyle w:val="NormalWeb"/>
              <w:jc w:val="center"/>
            </w:pPr>
            <w:r>
              <w:t>1,9</w:t>
            </w:r>
          </w:p>
        </w:tc>
        <w:tc>
          <w:tcPr>
            <w:tcW w:w="1050" w:type="dxa"/>
            <w:noWrap/>
            <w:vAlign w:val="center"/>
            <w:hideMark/>
          </w:tcPr>
          <w:p w:rsidR="00A209E1" w:rsidRDefault="00A209E1">
            <w:pPr>
              <w:pStyle w:val="NormalWeb"/>
              <w:jc w:val="center"/>
            </w:pPr>
            <w:r>
              <w:t>4,0</w:t>
            </w:r>
          </w:p>
        </w:tc>
        <w:tc>
          <w:tcPr>
            <w:tcW w:w="1155" w:type="dxa"/>
            <w:noWrap/>
            <w:vAlign w:val="center"/>
            <w:hideMark/>
          </w:tcPr>
          <w:p w:rsidR="00A209E1" w:rsidRDefault="00A209E1">
            <w:pPr>
              <w:pStyle w:val="NormalWeb"/>
              <w:jc w:val="center"/>
            </w:pPr>
            <w:r>
              <w:t>2,6</w:t>
            </w:r>
          </w:p>
        </w:tc>
      </w:tr>
      <w:tr w:rsidR="00A209E1" w:rsidTr="00A209E1">
        <w:trPr>
          <w:trHeight w:val="450"/>
          <w:tblCellSpacing w:w="0" w:type="dxa"/>
        </w:trPr>
        <w:tc>
          <w:tcPr>
            <w:tcW w:w="795" w:type="dxa"/>
            <w:vAlign w:val="center"/>
            <w:hideMark/>
          </w:tcPr>
          <w:p w:rsidR="00A209E1" w:rsidRDefault="00A209E1">
            <w:pPr>
              <w:pStyle w:val="NormalWeb"/>
              <w:jc w:val="center"/>
            </w:pPr>
            <w:r>
              <w:t>3202</w:t>
            </w:r>
          </w:p>
        </w:tc>
        <w:tc>
          <w:tcPr>
            <w:tcW w:w="5310" w:type="dxa"/>
            <w:vAlign w:val="center"/>
            <w:hideMark/>
          </w:tcPr>
          <w:p w:rsidR="00A209E1" w:rsidRDefault="00A209E1">
            <w:pPr>
              <w:pStyle w:val="NormalWeb"/>
            </w:pPr>
            <w:r>
              <w:t>Debagatte kullanılan sentetik organik ve anorganik maddeler ve müstahzarlar</w:t>
            </w:r>
          </w:p>
        </w:tc>
        <w:tc>
          <w:tcPr>
            <w:tcW w:w="1050" w:type="dxa"/>
            <w:noWrap/>
            <w:vAlign w:val="center"/>
            <w:hideMark/>
          </w:tcPr>
          <w:p w:rsidR="00A209E1" w:rsidRDefault="00A209E1">
            <w:pPr>
              <w:pStyle w:val="NormalWeb"/>
              <w:jc w:val="center"/>
            </w:pPr>
            <w:r>
              <w:t>3,7</w:t>
            </w:r>
          </w:p>
        </w:tc>
        <w:tc>
          <w:tcPr>
            <w:tcW w:w="1050" w:type="dxa"/>
            <w:noWrap/>
            <w:vAlign w:val="center"/>
            <w:hideMark/>
          </w:tcPr>
          <w:p w:rsidR="00A209E1" w:rsidRDefault="00A209E1">
            <w:pPr>
              <w:pStyle w:val="NormalWeb"/>
              <w:jc w:val="center"/>
            </w:pPr>
            <w:r>
              <w:t>3,4</w:t>
            </w:r>
          </w:p>
        </w:tc>
        <w:tc>
          <w:tcPr>
            <w:tcW w:w="1155" w:type="dxa"/>
            <w:noWrap/>
            <w:vAlign w:val="center"/>
            <w:hideMark/>
          </w:tcPr>
          <w:p w:rsidR="00A209E1" w:rsidRDefault="00A209E1">
            <w:pPr>
              <w:pStyle w:val="NormalWeb"/>
              <w:jc w:val="center"/>
            </w:pPr>
            <w:r>
              <w:t>2,5</w:t>
            </w:r>
          </w:p>
        </w:tc>
      </w:tr>
      <w:tr w:rsidR="00A209E1" w:rsidTr="00A209E1">
        <w:trPr>
          <w:trHeight w:val="300"/>
          <w:tblCellSpacing w:w="0" w:type="dxa"/>
        </w:trPr>
        <w:tc>
          <w:tcPr>
            <w:tcW w:w="795" w:type="dxa"/>
            <w:vAlign w:val="center"/>
            <w:hideMark/>
          </w:tcPr>
          <w:p w:rsidR="00A209E1" w:rsidRDefault="00A209E1">
            <w:pPr>
              <w:pStyle w:val="NormalWeb"/>
              <w:jc w:val="center"/>
            </w:pPr>
            <w:r>
              <w:t>5201</w:t>
            </w:r>
          </w:p>
        </w:tc>
        <w:tc>
          <w:tcPr>
            <w:tcW w:w="5310" w:type="dxa"/>
            <w:vAlign w:val="center"/>
            <w:hideMark/>
          </w:tcPr>
          <w:p w:rsidR="00A209E1" w:rsidRDefault="00A209E1">
            <w:pPr>
              <w:pStyle w:val="NormalWeb"/>
            </w:pPr>
            <w:r>
              <w:t>Pamuk (</w:t>
            </w:r>
            <w:proofErr w:type="spellStart"/>
            <w:r>
              <w:t>karde</w:t>
            </w:r>
            <w:proofErr w:type="spellEnd"/>
            <w:r>
              <w:t xml:space="preserve"> edilmemiş veya </w:t>
            </w:r>
            <w:proofErr w:type="spellStart"/>
            <w:r>
              <w:t>penyelenmemiş</w:t>
            </w:r>
            <w:proofErr w:type="spellEnd"/>
            <w:r>
              <w:t>)</w:t>
            </w:r>
          </w:p>
        </w:tc>
        <w:tc>
          <w:tcPr>
            <w:tcW w:w="1050" w:type="dxa"/>
            <w:noWrap/>
            <w:vAlign w:val="center"/>
            <w:hideMark/>
          </w:tcPr>
          <w:p w:rsidR="00A209E1" w:rsidRDefault="00A209E1">
            <w:pPr>
              <w:pStyle w:val="NormalWeb"/>
              <w:jc w:val="center"/>
            </w:pPr>
            <w:r>
              <w:t>0,2</w:t>
            </w:r>
          </w:p>
        </w:tc>
        <w:tc>
          <w:tcPr>
            <w:tcW w:w="1050" w:type="dxa"/>
            <w:noWrap/>
            <w:vAlign w:val="center"/>
            <w:hideMark/>
          </w:tcPr>
          <w:p w:rsidR="00A209E1" w:rsidRDefault="00A209E1">
            <w:pPr>
              <w:pStyle w:val="NormalWeb"/>
              <w:jc w:val="center"/>
            </w:pPr>
            <w:r>
              <w:t>0,9</w:t>
            </w:r>
          </w:p>
        </w:tc>
        <w:tc>
          <w:tcPr>
            <w:tcW w:w="1155" w:type="dxa"/>
            <w:noWrap/>
            <w:vAlign w:val="center"/>
            <w:hideMark/>
          </w:tcPr>
          <w:p w:rsidR="00A209E1" w:rsidRDefault="00A209E1">
            <w:pPr>
              <w:pStyle w:val="NormalWeb"/>
              <w:jc w:val="center"/>
            </w:pPr>
            <w:r>
              <w:t>2,2</w:t>
            </w:r>
          </w:p>
        </w:tc>
      </w:tr>
      <w:tr w:rsidR="00A209E1" w:rsidTr="00A209E1">
        <w:trPr>
          <w:trHeight w:val="450"/>
          <w:tblCellSpacing w:w="0" w:type="dxa"/>
        </w:trPr>
        <w:tc>
          <w:tcPr>
            <w:tcW w:w="795" w:type="dxa"/>
            <w:vAlign w:val="center"/>
            <w:hideMark/>
          </w:tcPr>
          <w:p w:rsidR="00A209E1" w:rsidRDefault="00A209E1">
            <w:pPr>
              <w:pStyle w:val="NormalWeb"/>
              <w:jc w:val="center"/>
            </w:pPr>
            <w:r>
              <w:t>2008</w:t>
            </w:r>
          </w:p>
        </w:tc>
        <w:tc>
          <w:tcPr>
            <w:tcW w:w="5310" w:type="dxa"/>
            <w:vAlign w:val="center"/>
            <w:hideMark/>
          </w:tcPr>
          <w:p w:rsidR="00A209E1" w:rsidRDefault="00A209E1">
            <w:pPr>
              <w:pStyle w:val="NormalWeb"/>
            </w:pPr>
            <w:r>
              <w:t>Tarifenin başka yerinde belirtilmeyen meyve ve yenilen diğer bitki parçalarının konserveleri</w:t>
            </w:r>
          </w:p>
        </w:tc>
        <w:tc>
          <w:tcPr>
            <w:tcW w:w="1050" w:type="dxa"/>
            <w:noWrap/>
            <w:vAlign w:val="center"/>
            <w:hideMark/>
          </w:tcPr>
          <w:p w:rsidR="00A209E1" w:rsidRDefault="00A209E1">
            <w:pPr>
              <w:pStyle w:val="NormalWeb"/>
              <w:jc w:val="center"/>
            </w:pPr>
            <w:r>
              <w:t>1,5</w:t>
            </w:r>
          </w:p>
        </w:tc>
        <w:tc>
          <w:tcPr>
            <w:tcW w:w="1050" w:type="dxa"/>
            <w:noWrap/>
            <w:vAlign w:val="center"/>
            <w:hideMark/>
          </w:tcPr>
          <w:p w:rsidR="00A209E1" w:rsidRDefault="00A209E1">
            <w:pPr>
              <w:pStyle w:val="NormalWeb"/>
              <w:jc w:val="center"/>
            </w:pPr>
            <w:r>
              <w:t>1,0</w:t>
            </w:r>
          </w:p>
        </w:tc>
        <w:tc>
          <w:tcPr>
            <w:tcW w:w="1155" w:type="dxa"/>
            <w:noWrap/>
            <w:vAlign w:val="center"/>
            <w:hideMark/>
          </w:tcPr>
          <w:p w:rsidR="00A209E1" w:rsidRDefault="00A209E1">
            <w:pPr>
              <w:pStyle w:val="NormalWeb"/>
              <w:jc w:val="center"/>
            </w:pPr>
            <w:r>
              <w:t>1,5</w:t>
            </w:r>
          </w:p>
        </w:tc>
      </w:tr>
      <w:tr w:rsidR="00A209E1" w:rsidTr="00A209E1">
        <w:trPr>
          <w:trHeight w:val="450"/>
          <w:tblCellSpacing w:w="0" w:type="dxa"/>
        </w:trPr>
        <w:tc>
          <w:tcPr>
            <w:tcW w:w="795" w:type="dxa"/>
            <w:vAlign w:val="center"/>
            <w:hideMark/>
          </w:tcPr>
          <w:p w:rsidR="00A209E1" w:rsidRDefault="00A209E1">
            <w:pPr>
              <w:pStyle w:val="NormalWeb"/>
              <w:jc w:val="center"/>
            </w:pPr>
            <w:r>
              <w:t>7205</w:t>
            </w:r>
          </w:p>
        </w:tc>
        <w:tc>
          <w:tcPr>
            <w:tcW w:w="5310" w:type="dxa"/>
            <w:vAlign w:val="center"/>
            <w:hideMark/>
          </w:tcPr>
          <w:p w:rsidR="00A209E1" w:rsidRDefault="00A209E1">
            <w:pPr>
              <w:pStyle w:val="NormalWeb"/>
            </w:pPr>
            <w:r>
              <w:t>Dökme demir, aynalı demir, demir veya çelikten granül ve tozlar</w:t>
            </w:r>
          </w:p>
        </w:tc>
        <w:tc>
          <w:tcPr>
            <w:tcW w:w="1050" w:type="dxa"/>
            <w:noWrap/>
            <w:vAlign w:val="center"/>
            <w:hideMark/>
          </w:tcPr>
          <w:p w:rsidR="00A209E1" w:rsidRDefault="00A209E1">
            <w:pPr>
              <w:pStyle w:val="NormalWeb"/>
              <w:jc w:val="center"/>
            </w:pPr>
            <w:r>
              <w:t>1,5</w:t>
            </w:r>
          </w:p>
        </w:tc>
        <w:tc>
          <w:tcPr>
            <w:tcW w:w="1050" w:type="dxa"/>
            <w:noWrap/>
            <w:vAlign w:val="center"/>
            <w:hideMark/>
          </w:tcPr>
          <w:p w:rsidR="00A209E1" w:rsidRDefault="00A209E1">
            <w:pPr>
              <w:pStyle w:val="NormalWeb"/>
              <w:jc w:val="center"/>
            </w:pPr>
            <w:r>
              <w:t>1,7</w:t>
            </w:r>
          </w:p>
        </w:tc>
        <w:tc>
          <w:tcPr>
            <w:tcW w:w="1155" w:type="dxa"/>
            <w:noWrap/>
            <w:vAlign w:val="center"/>
            <w:hideMark/>
          </w:tcPr>
          <w:p w:rsidR="00A209E1" w:rsidRDefault="00A209E1">
            <w:pPr>
              <w:pStyle w:val="NormalWeb"/>
              <w:jc w:val="center"/>
            </w:pPr>
            <w:r>
              <w:t>1,5</w:t>
            </w:r>
          </w:p>
        </w:tc>
      </w:tr>
      <w:tr w:rsidR="00A209E1" w:rsidTr="00A209E1">
        <w:trPr>
          <w:trHeight w:val="300"/>
          <w:tblCellSpacing w:w="0" w:type="dxa"/>
        </w:trPr>
        <w:tc>
          <w:tcPr>
            <w:tcW w:w="795" w:type="dxa"/>
            <w:vAlign w:val="center"/>
            <w:hideMark/>
          </w:tcPr>
          <w:p w:rsidR="00A209E1" w:rsidRDefault="00A209E1">
            <w:pPr>
              <w:pStyle w:val="NormalWeb"/>
              <w:jc w:val="center"/>
            </w:pPr>
            <w:r>
              <w:t>2819</w:t>
            </w:r>
          </w:p>
        </w:tc>
        <w:tc>
          <w:tcPr>
            <w:tcW w:w="5310" w:type="dxa"/>
            <w:vAlign w:val="center"/>
            <w:hideMark/>
          </w:tcPr>
          <w:p w:rsidR="00A209E1" w:rsidRDefault="00A209E1">
            <w:pPr>
              <w:pStyle w:val="NormalWeb"/>
            </w:pPr>
            <w:r>
              <w:t>Krom oksitleri ve hidroksitleri</w:t>
            </w:r>
          </w:p>
        </w:tc>
        <w:tc>
          <w:tcPr>
            <w:tcW w:w="1050" w:type="dxa"/>
            <w:noWrap/>
            <w:vAlign w:val="center"/>
            <w:hideMark/>
          </w:tcPr>
          <w:p w:rsidR="00A209E1" w:rsidRDefault="00A209E1">
            <w:pPr>
              <w:pStyle w:val="NormalWeb"/>
              <w:jc w:val="center"/>
            </w:pPr>
            <w:r>
              <w:t>1,5</w:t>
            </w:r>
          </w:p>
        </w:tc>
        <w:tc>
          <w:tcPr>
            <w:tcW w:w="1050" w:type="dxa"/>
            <w:noWrap/>
            <w:vAlign w:val="center"/>
            <w:hideMark/>
          </w:tcPr>
          <w:p w:rsidR="00A209E1" w:rsidRDefault="00A209E1">
            <w:pPr>
              <w:pStyle w:val="NormalWeb"/>
              <w:jc w:val="center"/>
            </w:pPr>
            <w:r>
              <w:t>1,0</w:t>
            </w:r>
          </w:p>
        </w:tc>
        <w:tc>
          <w:tcPr>
            <w:tcW w:w="1155" w:type="dxa"/>
            <w:noWrap/>
            <w:vAlign w:val="center"/>
            <w:hideMark/>
          </w:tcPr>
          <w:p w:rsidR="00A209E1" w:rsidRDefault="00A209E1">
            <w:pPr>
              <w:pStyle w:val="NormalWeb"/>
              <w:jc w:val="center"/>
            </w:pPr>
            <w:r>
              <w:t>1,5</w:t>
            </w:r>
          </w:p>
        </w:tc>
      </w:tr>
      <w:tr w:rsidR="00A209E1" w:rsidTr="00A209E1">
        <w:trPr>
          <w:trHeight w:val="450"/>
          <w:tblCellSpacing w:w="0" w:type="dxa"/>
        </w:trPr>
        <w:tc>
          <w:tcPr>
            <w:tcW w:w="795" w:type="dxa"/>
            <w:vAlign w:val="center"/>
            <w:hideMark/>
          </w:tcPr>
          <w:p w:rsidR="00A209E1" w:rsidRDefault="00A209E1">
            <w:pPr>
              <w:pStyle w:val="NormalWeb"/>
              <w:jc w:val="center"/>
            </w:pPr>
            <w:r>
              <w:t>6802</w:t>
            </w:r>
          </w:p>
        </w:tc>
        <w:tc>
          <w:tcPr>
            <w:tcW w:w="5310" w:type="dxa"/>
            <w:vAlign w:val="center"/>
            <w:hideMark/>
          </w:tcPr>
          <w:p w:rsidR="00A209E1" w:rsidRDefault="00A209E1">
            <w:pPr>
              <w:pStyle w:val="NormalWeb"/>
            </w:pPr>
            <w:r>
              <w:t>Yontulmaya veya inşaata elverişli işlenmiş taşlar (</w:t>
            </w:r>
            <w:proofErr w:type="spellStart"/>
            <w:r>
              <w:t>kayagan</w:t>
            </w:r>
            <w:proofErr w:type="spellEnd"/>
            <w:r>
              <w:t xml:space="preserve"> taşı hariç), </w:t>
            </w:r>
            <w:proofErr w:type="spellStart"/>
            <w:r>
              <w:t>mozik</w:t>
            </w:r>
            <w:proofErr w:type="spellEnd"/>
            <w:r>
              <w:t xml:space="preserve"> için küp şeklinde </w:t>
            </w:r>
            <w:proofErr w:type="spellStart"/>
            <w:r>
              <w:t>taşl</w:t>
            </w:r>
            <w:proofErr w:type="spellEnd"/>
          </w:p>
        </w:tc>
        <w:tc>
          <w:tcPr>
            <w:tcW w:w="1050" w:type="dxa"/>
            <w:noWrap/>
            <w:vAlign w:val="center"/>
            <w:hideMark/>
          </w:tcPr>
          <w:p w:rsidR="00A209E1" w:rsidRDefault="00A209E1">
            <w:pPr>
              <w:pStyle w:val="NormalWeb"/>
              <w:jc w:val="center"/>
            </w:pPr>
            <w:r>
              <w:t>0,8</w:t>
            </w:r>
          </w:p>
        </w:tc>
        <w:tc>
          <w:tcPr>
            <w:tcW w:w="1050" w:type="dxa"/>
            <w:noWrap/>
            <w:vAlign w:val="center"/>
            <w:hideMark/>
          </w:tcPr>
          <w:p w:rsidR="00A209E1" w:rsidRDefault="00A209E1">
            <w:pPr>
              <w:pStyle w:val="NormalWeb"/>
              <w:jc w:val="center"/>
            </w:pPr>
            <w:r>
              <w:t>0,4</w:t>
            </w:r>
          </w:p>
        </w:tc>
        <w:tc>
          <w:tcPr>
            <w:tcW w:w="1155" w:type="dxa"/>
            <w:noWrap/>
            <w:vAlign w:val="center"/>
            <w:hideMark/>
          </w:tcPr>
          <w:p w:rsidR="00A209E1" w:rsidRDefault="00A209E1">
            <w:pPr>
              <w:pStyle w:val="NormalWeb"/>
              <w:jc w:val="center"/>
            </w:pPr>
            <w:r>
              <w:t>1,4</w:t>
            </w:r>
          </w:p>
        </w:tc>
      </w:tr>
      <w:tr w:rsidR="00A209E1" w:rsidTr="00A209E1">
        <w:trPr>
          <w:trHeight w:val="300"/>
          <w:tblCellSpacing w:w="0" w:type="dxa"/>
        </w:trPr>
        <w:tc>
          <w:tcPr>
            <w:tcW w:w="795" w:type="dxa"/>
            <w:vAlign w:val="center"/>
            <w:hideMark/>
          </w:tcPr>
          <w:p w:rsidR="00A209E1" w:rsidRDefault="00A209E1">
            <w:pPr>
              <w:pStyle w:val="NormalWeb"/>
              <w:jc w:val="center"/>
            </w:pPr>
            <w:r>
              <w:t>5407</w:t>
            </w:r>
          </w:p>
        </w:tc>
        <w:tc>
          <w:tcPr>
            <w:tcW w:w="5310" w:type="dxa"/>
            <w:vAlign w:val="center"/>
            <w:hideMark/>
          </w:tcPr>
          <w:p w:rsidR="00A209E1" w:rsidRDefault="00A209E1">
            <w:pPr>
              <w:pStyle w:val="NormalWeb"/>
            </w:pPr>
            <w:r>
              <w:t xml:space="preserve">Sentetik </w:t>
            </w:r>
            <w:proofErr w:type="spellStart"/>
            <w:r>
              <w:t>filament</w:t>
            </w:r>
            <w:proofErr w:type="spellEnd"/>
            <w:r>
              <w:t xml:space="preserve"> ipliklerinden dokunmuş mensucat</w:t>
            </w:r>
          </w:p>
        </w:tc>
        <w:tc>
          <w:tcPr>
            <w:tcW w:w="1050" w:type="dxa"/>
            <w:noWrap/>
            <w:vAlign w:val="center"/>
            <w:hideMark/>
          </w:tcPr>
          <w:p w:rsidR="00A209E1" w:rsidRDefault="00A209E1">
            <w:pPr>
              <w:pStyle w:val="NormalWeb"/>
              <w:jc w:val="center"/>
            </w:pPr>
            <w:r>
              <w:t>1,0</w:t>
            </w:r>
          </w:p>
        </w:tc>
        <w:tc>
          <w:tcPr>
            <w:tcW w:w="1050" w:type="dxa"/>
            <w:noWrap/>
            <w:vAlign w:val="center"/>
            <w:hideMark/>
          </w:tcPr>
          <w:p w:rsidR="00A209E1" w:rsidRDefault="00A209E1">
            <w:pPr>
              <w:pStyle w:val="NormalWeb"/>
              <w:jc w:val="center"/>
            </w:pPr>
            <w:r>
              <w:t>0,9</w:t>
            </w:r>
          </w:p>
        </w:tc>
        <w:tc>
          <w:tcPr>
            <w:tcW w:w="1155" w:type="dxa"/>
            <w:noWrap/>
            <w:vAlign w:val="center"/>
            <w:hideMark/>
          </w:tcPr>
          <w:p w:rsidR="00A209E1" w:rsidRDefault="00A209E1">
            <w:pPr>
              <w:pStyle w:val="NormalWeb"/>
              <w:jc w:val="center"/>
            </w:pPr>
            <w:r>
              <w:t>1,4</w:t>
            </w:r>
          </w:p>
        </w:tc>
      </w:tr>
      <w:tr w:rsidR="00A209E1" w:rsidTr="00A209E1">
        <w:trPr>
          <w:trHeight w:val="300"/>
          <w:tblCellSpacing w:w="0" w:type="dxa"/>
        </w:trPr>
        <w:tc>
          <w:tcPr>
            <w:tcW w:w="795" w:type="dxa"/>
            <w:vAlign w:val="center"/>
            <w:hideMark/>
          </w:tcPr>
          <w:p w:rsidR="00A209E1" w:rsidRDefault="00A209E1">
            <w:pPr>
              <w:pStyle w:val="NormalWeb"/>
              <w:jc w:val="center"/>
            </w:pPr>
            <w:r>
              <w:t>3915</w:t>
            </w:r>
          </w:p>
        </w:tc>
        <w:tc>
          <w:tcPr>
            <w:tcW w:w="5310" w:type="dxa"/>
            <w:vAlign w:val="center"/>
            <w:hideMark/>
          </w:tcPr>
          <w:p w:rsidR="00A209E1" w:rsidRDefault="00A209E1">
            <w:pPr>
              <w:pStyle w:val="NormalWeb"/>
            </w:pPr>
            <w:r>
              <w:t>Plastikten döküntü, kalıntı ve hurdalar</w:t>
            </w:r>
          </w:p>
        </w:tc>
        <w:tc>
          <w:tcPr>
            <w:tcW w:w="1050" w:type="dxa"/>
            <w:noWrap/>
            <w:vAlign w:val="center"/>
            <w:hideMark/>
          </w:tcPr>
          <w:p w:rsidR="00A209E1" w:rsidRDefault="00A209E1">
            <w:pPr>
              <w:pStyle w:val="NormalWeb"/>
              <w:jc w:val="center"/>
            </w:pPr>
            <w:r>
              <w:t>2,4</w:t>
            </w:r>
          </w:p>
        </w:tc>
        <w:tc>
          <w:tcPr>
            <w:tcW w:w="1050" w:type="dxa"/>
            <w:noWrap/>
            <w:vAlign w:val="center"/>
            <w:hideMark/>
          </w:tcPr>
          <w:p w:rsidR="00A209E1" w:rsidRDefault="00A209E1">
            <w:pPr>
              <w:pStyle w:val="NormalWeb"/>
              <w:jc w:val="center"/>
            </w:pPr>
            <w:r>
              <w:t>2,1</w:t>
            </w:r>
          </w:p>
        </w:tc>
        <w:tc>
          <w:tcPr>
            <w:tcW w:w="1155" w:type="dxa"/>
            <w:noWrap/>
            <w:vAlign w:val="center"/>
            <w:hideMark/>
          </w:tcPr>
          <w:p w:rsidR="00A209E1" w:rsidRDefault="00A209E1">
            <w:pPr>
              <w:pStyle w:val="NormalWeb"/>
              <w:jc w:val="center"/>
            </w:pPr>
            <w:r>
              <w:t>1,3</w:t>
            </w:r>
          </w:p>
        </w:tc>
      </w:tr>
      <w:tr w:rsidR="00A209E1" w:rsidTr="00A209E1">
        <w:trPr>
          <w:trHeight w:val="300"/>
          <w:tblCellSpacing w:w="0" w:type="dxa"/>
        </w:trPr>
        <w:tc>
          <w:tcPr>
            <w:tcW w:w="795" w:type="dxa"/>
            <w:vAlign w:val="center"/>
            <w:hideMark/>
          </w:tcPr>
          <w:p w:rsidR="00A209E1" w:rsidRDefault="00A209E1">
            <w:pPr>
              <w:pStyle w:val="NormalWeb"/>
              <w:jc w:val="center"/>
            </w:pPr>
            <w:r>
              <w:t>8708</w:t>
            </w:r>
          </w:p>
        </w:tc>
        <w:tc>
          <w:tcPr>
            <w:tcW w:w="5310" w:type="dxa"/>
            <w:vAlign w:val="center"/>
            <w:hideMark/>
          </w:tcPr>
          <w:p w:rsidR="00A209E1" w:rsidRDefault="00A209E1">
            <w:pPr>
              <w:pStyle w:val="NormalWeb"/>
            </w:pPr>
            <w:r>
              <w:t>Karayolu taşıtları için aksam, parça ve aksesuarlar</w:t>
            </w:r>
          </w:p>
        </w:tc>
        <w:tc>
          <w:tcPr>
            <w:tcW w:w="1050" w:type="dxa"/>
            <w:noWrap/>
            <w:vAlign w:val="center"/>
            <w:hideMark/>
          </w:tcPr>
          <w:p w:rsidR="00A209E1" w:rsidRDefault="00A209E1">
            <w:pPr>
              <w:pStyle w:val="NormalWeb"/>
              <w:jc w:val="center"/>
            </w:pPr>
            <w:r>
              <w:t>1,1</w:t>
            </w:r>
          </w:p>
        </w:tc>
        <w:tc>
          <w:tcPr>
            <w:tcW w:w="1050" w:type="dxa"/>
            <w:noWrap/>
            <w:vAlign w:val="center"/>
            <w:hideMark/>
          </w:tcPr>
          <w:p w:rsidR="00A209E1" w:rsidRDefault="00A209E1">
            <w:pPr>
              <w:pStyle w:val="NormalWeb"/>
              <w:jc w:val="center"/>
            </w:pPr>
            <w:r>
              <w:t>0,6</w:t>
            </w:r>
          </w:p>
        </w:tc>
        <w:tc>
          <w:tcPr>
            <w:tcW w:w="1155" w:type="dxa"/>
            <w:noWrap/>
            <w:vAlign w:val="center"/>
            <w:hideMark/>
          </w:tcPr>
          <w:p w:rsidR="00A209E1" w:rsidRDefault="00A209E1">
            <w:pPr>
              <w:pStyle w:val="NormalWeb"/>
              <w:jc w:val="center"/>
            </w:pPr>
            <w:r>
              <w:t>1,3</w:t>
            </w:r>
          </w:p>
        </w:tc>
      </w:tr>
      <w:tr w:rsidR="00A209E1" w:rsidTr="00A209E1">
        <w:trPr>
          <w:trHeight w:val="450"/>
          <w:tblCellSpacing w:w="0" w:type="dxa"/>
        </w:trPr>
        <w:tc>
          <w:tcPr>
            <w:tcW w:w="795" w:type="dxa"/>
            <w:vAlign w:val="center"/>
            <w:hideMark/>
          </w:tcPr>
          <w:p w:rsidR="00A209E1" w:rsidRDefault="00A209E1">
            <w:pPr>
              <w:pStyle w:val="NormalWeb"/>
              <w:jc w:val="center"/>
            </w:pPr>
            <w:r>
              <w:t>8422</w:t>
            </w:r>
          </w:p>
        </w:tc>
        <w:tc>
          <w:tcPr>
            <w:tcW w:w="5310" w:type="dxa"/>
            <w:vAlign w:val="center"/>
            <w:hideMark/>
          </w:tcPr>
          <w:p w:rsidR="00A209E1" w:rsidRDefault="00A209E1">
            <w:pPr>
              <w:pStyle w:val="NormalWeb"/>
            </w:pPr>
            <w:r>
              <w:t xml:space="preserve">Bulaşık, şişe </w:t>
            </w:r>
            <w:proofErr w:type="spellStart"/>
            <w:r>
              <w:t>vb</w:t>
            </w:r>
            <w:proofErr w:type="spellEnd"/>
            <w:r>
              <w:t xml:space="preserve"> yıkama ve kurutma makinaları, şişe, kutu çuval </w:t>
            </w:r>
            <w:proofErr w:type="spellStart"/>
            <w:r>
              <w:t>vb</w:t>
            </w:r>
            <w:proofErr w:type="spellEnd"/>
            <w:r>
              <w:t xml:space="preserve"> doldurma, etiketleme makinaları,</w:t>
            </w:r>
          </w:p>
        </w:tc>
        <w:tc>
          <w:tcPr>
            <w:tcW w:w="1050" w:type="dxa"/>
            <w:noWrap/>
            <w:vAlign w:val="center"/>
            <w:hideMark/>
          </w:tcPr>
          <w:p w:rsidR="00A209E1" w:rsidRDefault="00A209E1">
            <w:pPr>
              <w:pStyle w:val="NormalWeb"/>
              <w:jc w:val="center"/>
            </w:pPr>
            <w:r>
              <w:t>0,8</w:t>
            </w:r>
          </w:p>
        </w:tc>
        <w:tc>
          <w:tcPr>
            <w:tcW w:w="1050" w:type="dxa"/>
            <w:noWrap/>
            <w:vAlign w:val="center"/>
            <w:hideMark/>
          </w:tcPr>
          <w:p w:rsidR="00A209E1" w:rsidRDefault="00A209E1">
            <w:pPr>
              <w:pStyle w:val="NormalWeb"/>
              <w:jc w:val="center"/>
            </w:pPr>
            <w:r>
              <w:t>1,1</w:t>
            </w:r>
          </w:p>
        </w:tc>
        <w:tc>
          <w:tcPr>
            <w:tcW w:w="1155" w:type="dxa"/>
            <w:noWrap/>
            <w:vAlign w:val="center"/>
            <w:hideMark/>
          </w:tcPr>
          <w:p w:rsidR="00A209E1" w:rsidRDefault="00A209E1">
            <w:pPr>
              <w:pStyle w:val="NormalWeb"/>
              <w:jc w:val="center"/>
            </w:pPr>
            <w:r>
              <w:t>1,2</w:t>
            </w:r>
          </w:p>
        </w:tc>
      </w:tr>
    </w:tbl>
    <w:p w:rsidR="00A209E1" w:rsidRDefault="00A209E1" w:rsidP="00A209E1">
      <w:pPr>
        <w:pStyle w:val="NormalWeb"/>
      </w:pPr>
      <w:r>
        <w:rPr>
          <w:rStyle w:val="Gl"/>
        </w:rPr>
        <w:t>Kaynak:</w:t>
      </w:r>
      <w:r>
        <w:t xml:space="preserve"> TUİK</w:t>
      </w:r>
    </w:p>
    <w:p w:rsidR="00A209E1" w:rsidRDefault="00A209E1" w:rsidP="00A209E1">
      <w:pPr>
        <w:pStyle w:val="NormalWeb"/>
      </w:pPr>
      <w:r>
        <w:lastRenderedPageBreak/>
        <w:t> </w:t>
      </w:r>
      <w:r>
        <w:rPr>
          <w:rStyle w:val="Gl"/>
        </w:rPr>
        <w:t>İthalat</w:t>
      </w:r>
    </w:p>
    <w:p w:rsidR="00A209E1" w:rsidRDefault="00A209E1" w:rsidP="00A209E1">
      <w:pPr>
        <w:pStyle w:val="NormalWeb"/>
        <w:jc w:val="both"/>
      </w:pPr>
      <w:r>
        <w:t xml:space="preserve">Tayvan ile ticari ilişkilerimiz ithalat ağırlıklı bir gelişim sergilemektedir. 2002 yılında 522 milyon Amerikan doları olan ithalatımız, 2005 yılında 1,53 milyar, 2010 yılında ise bir önceki yıla göre %37,5 oranında artarak,  1,84 milyar Amerikan doları olarak gerçekleşmiştir. 2011 yılında ise 10,3 oranında artan ithalat 2,03 milyar Amerikan doları seviyesine geldikten sonra 2012 yılında 2,06 milyar dolara ulaşmıştır. 2013 yılındaki % 5,3 oranındaki </w:t>
      </w:r>
      <w:r w:rsidR="00D2309C">
        <w:t>düşüşten</w:t>
      </w:r>
      <w:bookmarkStart w:id="0" w:name="_GoBack"/>
      <w:bookmarkEnd w:id="0"/>
      <w:r>
        <w:t xml:space="preserve"> sonra Türkiye’nin Tayvan’dan toplam ithalatı 1,95 milyar dolara gerilemiş olup 2014 yılında tekrar artarak 2 milyar dolara yükselmiştir.</w:t>
      </w:r>
    </w:p>
    <w:p w:rsidR="00A209E1" w:rsidRDefault="00A209E1" w:rsidP="00A209E1">
      <w:pPr>
        <w:pStyle w:val="NormalWeb"/>
        <w:jc w:val="both"/>
      </w:pPr>
      <w:r>
        <w:t xml:space="preserve">Tayvan’dan gerçekleştirilen ithalatın yapısı incelendiğinde, geniş bir ürün çeşitliliği ile karşılaşılmaktadır. İthalatın önemli bir bölümünü yatırım ve ara malları, geri kalanını ise tüketim malları oluşturmaktadır. 2013 yılı verilerine göre Türkiye’nin Tayvan’dan ithalatında öne çıkan kalemler, elektronik devreler, elektrik transformatörleri, metal işlemeyle ilgili </w:t>
      </w:r>
      <w:proofErr w:type="gramStart"/>
      <w:r>
        <w:t>tezgahlar</w:t>
      </w:r>
      <w:proofErr w:type="gramEnd"/>
      <w:r>
        <w:t>, otomatik bilgi işlem makineleri ve aksamı,  telli telefon-telgraf için elektrikli cihazlar, elektrikli ses/görüntülü işaret cihazlar, elektrik konvertisörleri, kauçuk, pamuk,  petrol yağları, televizyon alıcıları, fotoğraf filmleri, lifler ve oto yedek ürünleridir.</w:t>
      </w:r>
    </w:p>
    <w:p w:rsidR="00A209E1" w:rsidRDefault="00A209E1" w:rsidP="00A209E1">
      <w:pPr>
        <w:pStyle w:val="NormalWeb"/>
        <w:jc w:val="both"/>
      </w:pPr>
      <w:r>
        <w:t>Tablo 7: Türkiye’nin Tayvan’dan İthalatında Başlıca Ürünler (bin $)</w:t>
      </w:r>
    </w:p>
    <w:tbl>
      <w:tblPr>
        <w:tblW w:w="930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8"/>
        <w:gridCol w:w="5387"/>
        <w:gridCol w:w="1025"/>
        <w:gridCol w:w="1115"/>
        <w:gridCol w:w="1025"/>
      </w:tblGrid>
      <w:tr w:rsidR="00A209E1" w:rsidTr="00A209E1">
        <w:trPr>
          <w:trHeight w:val="315"/>
          <w:tblCellSpacing w:w="0" w:type="dxa"/>
        </w:trPr>
        <w:tc>
          <w:tcPr>
            <w:tcW w:w="750" w:type="dxa"/>
            <w:vAlign w:val="center"/>
            <w:hideMark/>
          </w:tcPr>
          <w:p w:rsidR="00A209E1" w:rsidRDefault="00A209E1">
            <w:pPr>
              <w:pStyle w:val="NormalWeb"/>
            </w:pPr>
            <w:r>
              <w:t>GTİP</w:t>
            </w:r>
          </w:p>
        </w:tc>
        <w:tc>
          <w:tcPr>
            <w:tcW w:w="5415" w:type="dxa"/>
            <w:vAlign w:val="center"/>
            <w:hideMark/>
          </w:tcPr>
          <w:p w:rsidR="00A209E1" w:rsidRDefault="00A209E1">
            <w:pPr>
              <w:pStyle w:val="NormalWeb"/>
            </w:pPr>
            <w:r>
              <w:t>GTIP Dörtlü Adı</w:t>
            </w:r>
          </w:p>
        </w:tc>
        <w:tc>
          <w:tcPr>
            <w:tcW w:w="1005" w:type="dxa"/>
            <w:vAlign w:val="center"/>
            <w:hideMark/>
          </w:tcPr>
          <w:p w:rsidR="00A209E1" w:rsidRDefault="00A209E1">
            <w:pPr>
              <w:pStyle w:val="NormalWeb"/>
              <w:jc w:val="center"/>
            </w:pPr>
            <w:r>
              <w:t>2012</w:t>
            </w:r>
          </w:p>
        </w:tc>
        <w:tc>
          <w:tcPr>
            <w:tcW w:w="1095" w:type="dxa"/>
            <w:vAlign w:val="center"/>
            <w:hideMark/>
          </w:tcPr>
          <w:p w:rsidR="00A209E1" w:rsidRDefault="00A209E1">
            <w:pPr>
              <w:pStyle w:val="NormalWeb"/>
              <w:jc w:val="center"/>
            </w:pPr>
            <w:r>
              <w:t>2013</w:t>
            </w:r>
          </w:p>
        </w:tc>
        <w:tc>
          <w:tcPr>
            <w:tcW w:w="1005" w:type="dxa"/>
            <w:vAlign w:val="center"/>
            <w:hideMark/>
          </w:tcPr>
          <w:p w:rsidR="00A209E1" w:rsidRDefault="00A209E1">
            <w:pPr>
              <w:pStyle w:val="NormalWeb"/>
              <w:jc w:val="center"/>
            </w:pPr>
            <w:r>
              <w:t>2014</w:t>
            </w:r>
          </w:p>
        </w:tc>
      </w:tr>
      <w:tr w:rsidR="00A209E1" w:rsidTr="00A209E1">
        <w:trPr>
          <w:trHeight w:val="315"/>
          <w:tblCellSpacing w:w="0" w:type="dxa"/>
        </w:trPr>
        <w:tc>
          <w:tcPr>
            <w:tcW w:w="750" w:type="dxa"/>
            <w:vAlign w:val="center"/>
            <w:hideMark/>
          </w:tcPr>
          <w:p w:rsidR="00A209E1" w:rsidRDefault="00A209E1">
            <w:pPr>
              <w:pStyle w:val="NormalWeb"/>
            </w:pPr>
            <w:r>
              <w:t>8542</w:t>
            </w:r>
          </w:p>
        </w:tc>
        <w:tc>
          <w:tcPr>
            <w:tcW w:w="5415" w:type="dxa"/>
            <w:vAlign w:val="center"/>
            <w:hideMark/>
          </w:tcPr>
          <w:p w:rsidR="00A209E1" w:rsidRDefault="00A209E1">
            <w:pPr>
              <w:pStyle w:val="NormalWeb"/>
            </w:pPr>
            <w:r>
              <w:t xml:space="preserve">Elektronik </w:t>
            </w:r>
            <w:proofErr w:type="gramStart"/>
            <w:r>
              <w:t>entegre</w:t>
            </w:r>
            <w:proofErr w:type="gramEnd"/>
            <w:r>
              <w:t xml:space="preserve"> devreler</w:t>
            </w:r>
          </w:p>
        </w:tc>
        <w:tc>
          <w:tcPr>
            <w:tcW w:w="1005" w:type="dxa"/>
            <w:noWrap/>
            <w:vAlign w:val="center"/>
            <w:hideMark/>
          </w:tcPr>
          <w:p w:rsidR="00A209E1" w:rsidRDefault="00A209E1">
            <w:pPr>
              <w:pStyle w:val="NormalWeb"/>
              <w:jc w:val="center"/>
            </w:pPr>
            <w:r>
              <w:t>137,1</w:t>
            </w:r>
          </w:p>
        </w:tc>
        <w:tc>
          <w:tcPr>
            <w:tcW w:w="1095" w:type="dxa"/>
            <w:noWrap/>
            <w:vAlign w:val="center"/>
            <w:hideMark/>
          </w:tcPr>
          <w:p w:rsidR="00A209E1" w:rsidRDefault="00A209E1">
            <w:pPr>
              <w:pStyle w:val="NormalWeb"/>
              <w:jc w:val="center"/>
            </w:pPr>
            <w:r>
              <w:t>117,7</w:t>
            </w:r>
          </w:p>
        </w:tc>
        <w:tc>
          <w:tcPr>
            <w:tcW w:w="1005" w:type="dxa"/>
            <w:noWrap/>
            <w:vAlign w:val="center"/>
            <w:hideMark/>
          </w:tcPr>
          <w:p w:rsidR="00A209E1" w:rsidRDefault="00A209E1">
            <w:pPr>
              <w:pStyle w:val="NormalWeb"/>
              <w:jc w:val="center"/>
            </w:pPr>
            <w:r>
              <w:t>137,8</w:t>
            </w:r>
          </w:p>
        </w:tc>
      </w:tr>
      <w:tr w:rsidR="00A209E1" w:rsidTr="00A209E1">
        <w:trPr>
          <w:trHeight w:val="570"/>
          <w:tblCellSpacing w:w="0" w:type="dxa"/>
        </w:trPr>
        <w:tc>
          <w:tcPr>
            <w:tcW w:w="750" w:type="dxa"/>
            <w:vAlign w:val="center"/>
            <w:hideMark/>
          </w:tcPr>
          <w:p w:rsidR="00A209E1" w:rsidRDefault="00A209E1">
            <w:pPr>
              <w:pStyle w:val="NormalWeb"/>
            </w:pPr>
            <w:r>
              <w:t>8529</w:t>
            </w:r>
          </w:p>
        </w:tc>
        <w:tc>
          <w:tcPr>
            <w:tcW w:w="5415" w:type="dxa"/>
            <w:vAlign w:val="center"/>
            <w:hideMark/>
          </w:tcPr>
          <w:p w:rsidR="00A209E1" w:rsidRDefault="00A209E1">
            <w:pPr>
              <w:pStyle w:val="NormalWeb"/>
            </w:pPr>
            <w:r>
              <w:t>Sadece veya esas itibariyle 85.25 ila 85.28 pozisyonlarında yer alan cihazlara mahsus aksam ve parça</w:t>
            </w:r>
          </w:p>
        </w:tc>
        <w:tc>
          <w:tcPr>
            <w:tcW w:w="1005" w:type="dxa"/>
            <w:noWrap/>
            <w:vAlign w:val="center"/>
            <w:hideMark/>
          </w:tcPr>
          <w:p w:rsidR="00A209E1" w:rsidRDefault="00A209E1">
            <w:pPr>
              <w:pStyle w:val="NormalWeb"/>
              <w:jc w:val="center"/>
            </w:pPr>
            <w:r>
              <w:t>105,0</w:t>
            </w:r>
          </w:p>
        </w:tc>
        <w:tc>
          <w:tcPr>
            <w:tcW w:w="1095" w:type="dxa"/>
            <w:noWrap/>
            <w:vAlign w:val="center"/>
            <w:hideMark/>
          </w:tcPr>
          <w:p w:rsidR="00A209E1" w:rsidRDefault="00A209E1">
            <w:pPr>
              <w:pStyle w:val="NormalWeb"/>
              <w:jc w:val="center"/>
            </w:pPr>
            <w:r>
              <w:t>28,6</w:t>
            </w:r>
          </w:p>
        </w:tc>
        <w:tc>
          <w:tcPr>
            <w:tcW w:w="1005" w:type="dxa"/>
            <w:noWrap/>
            <w:vAlign w:val="center"/>
            <w:hideMark/>
          </w:tcPr>
          <w:p w:rsidR="00A209E1" w:rsidRDefault="00A209E1">
            <w:pPr>
              <w:pStyle w:val="NormalWeb"/>
              <w:jc w:val="center"/>
            </w:pPr>
            <w:r>
              <w:t>119,0</w:t>
            </w:r>
          </w:p>
        </w:tc>
      </w:tr>
      <w:tr w:rsidR="00A209E1" w:rsidTr="00A209E1">
        <w:trPr>
          <w:trHeight w:val="315"/>
          <w:tblCellSpacing w:w="0" w:type="dxa"/>
        </w:trPr>
        <w:tc>
          <w:tcPr>
            <w:tcW w:w="750" w:type="dxa"/>
            <w:vAlign w:val="center"/>
            <w:hideMark/>
          </w:tcPr>
          <w:p w:rsidR="00A209E1" w:rsidRDefault="00A209E1">
            <w:pPr>
              <w:pStyle w:val="NormalWeb"/>
            </w:pPr>
            <w:r>
              <w:t>8457</w:t>
            </w:r>
          </w:p>
        </w:tc>
        <w:tc>
          <w:tcPr>
            <w:tcW w:w="5415" w:type="dxa"/>
            <w:vAlign w:val="center"/>
            <w:hideMark/>
          </w:tcPr>
          <w:p w:rsidR="00A209E1" w:rsidRDefault="00A209E1">
            <w:pPr>
              <w:pStyle w:val="NormalWeb"/>
            </w:pPr>
            <w:r>
              <w:t xml:space="preserve">Metal işlemeye mahsus işleme merkezleri, tek istasyonlu </w:t>
            </w:r>
            <w:proofErr w:type="gramStart"/>
            <w:r>
              <w:t>tezgahlar</w:t>
            </w:r>
            <w:proofErr w:type="gramEnd"/>
            <w:r>
              <w:t xml:space="preserve"> ve çok istasyonlu transfer </w:t>
            </w:r>
            <w:proofErr w:type="spellStart"/>
            <w:r>
              <w:t>tezgahl</w:t>
            </w:r>
            <w:proofErr w:type="spellEnd"/>
          </w:p>
        </w:tc>
        <w:tc>
          <w:tcPr>
            <w:tcW w:w="1005" w:type="dxa"/>
            <w:noWrap/>
            <w:vAlign w:val="center"/>
            <w:hideMark/>
          </w:tcPr>
          <w:p w:rsidR="00A209E1" w:rsidRDefault="00A209E1">
            <w:pPr>
              <w:pStyle w:val="NormalWeb"/>
              <w:jc w:val="center"/>
            </w:pPr>
            <w:r>
              <w:t>104,8</w:t>
            </w:r>
          </w:p>
        </w:tc>
        <w:tc>
          <w:tcPr>
            <w:tcW w:w="1095" w:type="dxa"/>
            <w:noWrap/>
            <w:vAlign w:val="center"/>
            <w:hideMark/>
          </w:tcPr>
          <w:p w:rsidR="00A209E1" w:rsidRDefault="00A209E1">
            <w:pPr>
              <w:pStyle w:val="NormalWeb"/>
              <w:jc w:val="center"/>
            </w:pPr>
            <w:r>
              <w:t>91,4</w:t>
            </w:r>
          </w:p>
        </w:tc>
        <w:tc>
          <w:tcPr>
            <w:tcW w:w="1005" w:type="dxa"/>
            <w:noWrap/>
            <w:vAlign w:val="center"/>
            <w:hideMark/>
          </w:tcPr>
          <w:p w:rsidR="00A209E1" w:rsidRDefault="00A209E1">
            <w:pPr>
              <w:pStyle w:val="NormalWeb"/>
              <w:jc w:val="center"/>
            </w:pPr>
            <w:r>
              <w:t>117,9</w:t>
            </w:r>
          </w:p>
        </w:tc>
      </w:tr>
      <w:tr w:rsidR="00A209E1" w:rsidTr="00A209E1">
        <w:trPr>
          <w:trHeight w:val="300"/>
          <w:tblCellSpacing w:w="0" w:type="dxa"/>
        </w:trPr>
        <w:tc>
          <w:tcPr>
            <w:tcW w:w="750" w:type="dxa"/>
            <w:vAlign w:val="center"/>
            <w:hideMark/>
          </w:tcPr>
          <w:p w:rsidR="00A209E1" w:rsidRDefault="00A209E1">
            <w:pPr>
              <w:pStyle w:val="NormalWeb"/>
            </w:pPr>
            <w:r>
              <w:t>8517</w:t>
            </w:r>
          </w:p>
        </w:tc>
        <w:tc>
          <w:tcPr>
            <w:tcW w:w="5415" w:type="dxa"/>
            <w:vAlign w:val="center"/>
            <w:hideMark/>
          </w:tcPr>
          <w:p w:rsidR="00A209E1" w:rsidRDefault="00A209E1">
            <w:pPr>
              <w:pStyle w:val="NormalWeb"/>
            </w:pPr>
            <w:r>
              <w:t>Telefon cihazları, ses, görüntü veya diğer bilgileri almaya veya vermeye mahsus diğer cihazlar</w:t>
            </w:r>
          </w:p>
        </w:tc>
        <w:tc>
          <w:tcPr>
            <w:tcW w:w="1005" w:type="dxa"/>
            <w:noWrap/>
            <w:vAlign w:val="center"/>
            <w:hideMark/>
          </w:tcPr>
          <w:p w:rsidR="00A209E1" w:rsidRDefault="00A209E1">
            <w:pPr>
              <w:pStyle w:val="NormalWeb"/>
              <w:jc w:val="center"/>
            </w:pPr>
            <w:r>
              <w:t>88,7</w:t>
            </w:r>
          </w:p>
        </w:tc>
        <w:tc>
          <w:tcPr>
            <w:tcW w:w="1095" w:type="dxa"/>
            <w:noWrap/>
            <w:vAlign w:val="center"/>
            <w:hideMark/>
          </w:tcPr>
          <w:p w:rsidR="00A209E1" w:rsidRDefault="00A209E1">
            <w:pPr>
              <w:pStyle w:val="NormalWeb"/>
              <w:jc w:val="center"/>
            </w:pPr>
            <w:r>
              <w:t>96,4</w:t>
            </w:r>
          </w:p>
        </w:tc>
        <w:tc>
          <w:tcPr>
            <w:tcW w:w="1005" w:type="dxa"/>
            <w:noWrap/>
            <w:vAlign w:val="center"/>
            <w:hideMark/>
          </w:tcPr>
          <w:p w:rsidR="00A209E1" w:rsidRDefault="00A209E1">
            <w:pPr>
              <w:pStyle w:val="NormalWeb"/>
              <w:jc w:val="center"/>
            </w:pPr>
            <w:r>
              <w:t>90,6</w:t>
            </w:r>
          </w:p>
        </w:tc>
      </w:tr>
      <w:tr w:rsidR="00A209E1" w:rsidTr="00A209E1">
        <w:trPr>
          <w:trHeight w:val="450"/>
          <w:tblCellSpacing w:w="0" w:type="dxa"/>
        </w:trPr>
        <w:tc>
          <w:tcPr>
            <w:tcW w:w="750" w:type="dxa"/>
            <w:vAlign w:val="center"/>
            <w:hideMark/>
          </w:tcPr>
          <w:p w:rsidR="00A209E1" w:rsidRDefault="00A209E1">
            <w:pPr>
              <w:pStyle w:val="NormalWeb"/>
            </w:pPr>
            <w:r>
              <w:t>7219</w:t>
            </w:r>
          </w:p>
        </w:tc>
        <w:tc>
          <w:tcPr>
            <w:tcW w:w="5415" w:type="dxa"/>
            <w:vAlign w:val="center"/>
            <w:hideMark/>
          </w:tcPr>
          <w:p w:rsidR="00A209E1" w:rsidRDefault="00A209E1">
            <w:pPr>
              <w:pStyle w:val="NormalWeb"/>
            </w:pPr>
            <w:r>
              <w:t>Paslanmaz çelikten yassı hadde mamulleri (genişliği 600 mm. Veya fazla olanlar)</w:t>
            </w:r>
          </w:p>
        </w:tc>
        <w:tc>
          <w:tcPr>
            <w:tcW w:w="1005" w:type="dxa"/>
            <w:noWrap/>
            <w:vAlign w:val="center"/>
            <w:hideMark/>
          </w:tcPr>
          <w:p w:rsidR="00A209E1" w:rsidRDefault="00A209E1">
            <w:pPr>
              <w:pStyle w:val="NormalWeb"/>
              <w:jc w:val="center"/>
            </w:pPr>
            <w:r>
              <w:t>162,2</w:t>
            </w:r>
          </w:p>
        </w:tc>
        <w:tc>
          <w:tcPr>
            <w:tcW w:w="1095" w:type="dxa"/>
            <w:noWrap/>
            <w:vAlign w:val="center"/>
            <w:hideMark/>
          </w:tcPr>
          <w:p w:rsidR="00A209E1" w:rsidRDefault="00A209E1">
            <w:pPr>
              <w:pStyle w:val="NormalWeb"/>
              <w:jc w:val="center"/>
            </w:pPr>
            <w:r>
              <w:t>171,0</w:t>
            </w:r>
          </w:p>
        </w:tc>
        <w:tc>
          <w:tcPr>
            <w:tcW w:w="1005" w:type="dxa"/>
            <w:noWrap/>
            <w:vAlign w:val="center"/>
            <w:hideMark/>
          </w:tcPr>
          <w:p w:rsidR="00A209E1" w:rsidRDefault="00A209E1">
            <w:pPr>
              <w:pStyle w:val="NormalWeb"/>
              <w:jc w:val="center"/>
            </w:pPr>
            <w:r>
              <w:t>90,5</w:t>
            </w:r>
          </w:p>
        </w:tc>
      </w:tr>
      <w:tr w:rsidR="00A209E1" w:rsidTr="00A209E1">
        <w:trPr>
          <w:trHeight w:val="60"/>
          <w:tblCellSpacing w:w="0" w:type="dxa"/>
        </w:trPr>
        <w:tc>
          <w:tcPr>
            <w:tcW w:w="750" w:type="dxa"/>
            <w:vAlign w:val="center"/>
            <w:hideMark/>
          </w:tcPr>
          <w:p w:rsidR="00A209E1" w:rsidRDefault="00A209E1">
            <w:pPr>
              <w:pStyle w:val="NormalWeb"/>
              <w:spacing w:line="60" w:lineRule="atLeast"/>
            </w:pPr>
            <w:r>
              <w:t>8458</w:t>
            </w:r>
          </w:p>
        </w:tc>
        <w:tc>
          <w:tcPr>
            <w:tcW w:w="5415" w:type="dxa"/>
            <w:vAlign w:val="center"/>
            <w:hideMark/>
          </w:tcPr>
          <w:p w:rsidR="00A209E1" w:rsidRDefault="00A209E1">
            <w:pPr>
              <w:pStyle w:val="NormalWeb"/>
              <w:spacing w:line="60" w:lineRule="atLeast"/>
            </w:pPr>
            <w:r>
              <w:t xml:space="preserve">Metal işlemeye mahsus torna tezgahları ( tornalama merkezleri </w:t>
            </w:r>
            <w:proofErr w:type="gramStart"/>
            <w:r>
              <w:t>dahil</w:t>
            </w:r>
            <w:proofErr w:type="gramEnd"/>
            <w:r>
              <w:t>)</w:t>
            </w:r>
          </w:p>
        </w:tc>
        <w:tc>
          <w:tcPr>
            <w:tcW w:w="1005" w:type="dxa"/>
            <w:noWrap/>
            <w:vAlign w:val="center"/>
            <w:hideMark/>
          </w:tcPr>
          <w:p w:rsidR="00A209E1" w:rsidRDefault="00A209E1">
            <w:pPr>
              <w:pStyle w:val="NormalWeb"/>
              <w:spacing w:line="60" w:lineRule="atLeast"/>
              <w:jc w:val="center"/>
            </w:pPr>
            <w:r>
              <w:t>78,6</w:t>
            </w:r>
          </w:p>
        </w:tc>
        <w:tc>
          <w:tcPr>
            <w:tcW w:w="1095" w:type="dxa"/>
            <w:noWrap/>
            <w:vAlign w:val="center"/>
            <w:hideMark/>
          </w:tcPr>
          <w:p w:rsidR="00A209E1" w:rsidRDefault="00A209E1">
            <w:pPr>
              <w:pStyle w:val="NormalWeb"/>
              <w:spacing w:line="60" w:lineRule="atLeast"/>
              <w:jc w:val="center"/>
            </w:pPr>
            <w:r>
              <w:t>63,1</w:t>
            </w:r>
          </w:p>
        </w:tc>
        <w:tc>
          <w:tcPr>
            <w:tcW w:w="1005" w:type="dxa"/>
            <w:noWrap/>
            <w:vAlign w:val="center"/>
            <w:hideMark/>
          </w:tcPr>
          <w:p w:rsidR="00A209E1" w:rsidRDefault="00A209E1">
            <w:pPr>
              <w:pStyle w:val="NormalWeb"/>
              <w:spacing w:line="60" w:lineRule="atLeast"/>
              <w:jc w:val="center"/>
            </w:pPr>
            <w:r>
              <w:t>70,2</w:t>
            </w:r>
          </w:p>
        </w:tc>
      </w:tr>
      <w:tr w:rsidR="00A209E1" w:rsidTr="00A209E1">
        <w:trPr>
          <w:trHeight w:val="180"/>
          <w:tblCellSpacing w:w="0" w:type="dxa"/>
        </w:trPr>
        <w:tc>
          <w:tcPr>
            <w:tcW w:w="750" w:type="dxa"/>
            <w:vAlign w:val="center"/>
            <w:hideMark/>
          </w:tcPr>
          <w:p w:rsidR="00A209E1" w:rsidRDefault="00A209E1">
            <w:pPr>
              <w:pStyle w:val="NormalWeb"/>
              <w:spacing w:line="180" w:lineRule="atLeast"/>
            </w:pPr>
            <w:r>
              <w:t>4002</w:t>
            </w:r>
          </w:p>
        </w:tc>
        <w:tc>
          <w:tcPr>
            <w:tcW w:w="5415" w:type="dxa"/>
            <w:vAlign w:val="center"/>
            <w:hideMark/>
          </w:tcPr>
          <w:p w:rsidR="00A209E1" w:rsidRDefault="00A209E1">
            <w:pPr>
              <w:pStyle w:val="NormalWeb"/>
              <w:spacing w:line="180" w:lineRule="atLeast"/>
            </w:pPr>
            <w:r>
              <w:t xml:space="preserve">Sentetik kauçuk veya sıvı yağlardan türetilen taklit kauçuk (ilk </w:t>
            </w:r>
            <w:proofErr w:type="gramStart"/>
            <w:r>
              <w:t>şekillerde,</w:t>
            </w:r>
            <w:proofErr w:type="gramEnd"/>
            <w:r>
              <w:t xml:space="preserve"> veya levha, tabaka, şer</w:t>
            </w:r>
          </w:p>
        </w:tc>
        <w:tc>
          <w:tcPr>
            <w:tcW w:w="1005" w:type="dxa"/>
            <w:noWrap/>
            <w:vAlign w:val="center"/>
            <w:hideMark/>
          </w:tcPr>
          <w:p w:rsidR="00A209E1" w:rsidRDefault="00A209E1">
            <w:pPr>
              <w:pStyle w:val="NormalWeb"/>
              <w:spacing w:line="180" w:lineRule="atLeast"/>
              <w:jc w:val="center"/>
            </w:pPr>
            <w:r>
              <w:t>67,3</w:t>
            </w:r>
          </w:p>
        </w:tc>
        <w:tc>
          <w:tcPr>
            <w:tcW w:w="1095" w:type="dxa"/>
            <w:noWrap/>
            <w:vAlign w:val="center"/>
            <w:hideMark/>
          </w:tcPr>
          <w:p w:rsidR="00A209E1" w:rsidRDefault="00A209E1">
            <w:pPr>
              <w:pStyle w:val="NormalWeb"/>
              <w:spacing w:line="180" w:lineRule="atLeast"/>
              <w:jc w:val="center"/>
            </w:pPr>
            <w:r>
              <w:t>65,5</w:t>
            </w:r>
          </w:p>
        </w:tc>
        <w:tc>
          <w:tcPr>
            <w:tcW w:w="1005" w:type="dxa"/>
            <w:noWrap/>
            <w:vAlign w:val="center"/>
            <w:hideMark/>
          </w:tcPr>
          <w:p w:rsidR="00A209E1" w:rsidRDefault="00A209E1">
            <w:pPr>
              <w:pStyle w:val="NormalWeb"/>
              <w:spacing w:line="180" w:lineRule="atLeast"/>
              <w:jc w:val="center"/>
            </w:pPr>
            <w:r>
              <w:t>54,6</w:t>
            </w:r>
          </w:p>
        </w:tc>
      </w:tr>
      <w:tr w:rsidR="00A209E1" w:rsidTr="00A209E1">
        <w:trPr>
          <w:trHeight w:val="465"/>
          <w:tblCellSpacing w:w="0" w:type="dxa"/>
        </w:trPr>
        <w:tc>
          <w:tcPr>
            <w:tcW w:w="750" w:type="dxa"/>
            <w:vAlign w:val="center"/>
            <w:hideMark/>
          </w:tcPr>
          <w:p w:rsidR="00A209E1" w:rsidRDefault="00A209E1">
            <w:pPr>
              <w:pStyle w:val="NormalWeb"/>
            </w:pPr>
            <w:r>
              <w:t>7318</w:t>
            </w:r>
          </w:p>
        </w:tc>
        <w:tc>
          <w:tcPr>
            <w:tcW w:w="5415" w:type="dxa"/>
            <w:vAlign w:val="center"/>
            <w:hideMark/>
          </w:tcPr>
          <w:p w:rsidR="00A209E1" w:rsidRDefault="00A209E1">
            <w:pPr>
              <w:pStyle w:val="NormalWeb"/>
            </w:pPr>
            <w:r>
              <w:t xml:space="preserve">Demir veya çelikten vidalar, </w:t>
            </w:r>
            <w:proofErr w:type="spellStart"/>
            <w:r>
              <w:t>civatalar</w:t>
            </w:r>
            <w:proofErr w:type="spellEnd"/>
            <w:r>
              <w:t xml:space="preserve">, somunlar, </w:t>
            </w:r>
            <w:proofErr w:type="spellStart"/>
            <w:r>
              <w:t>tirfonlar</w:t>
            </w:r>
            <w:proofErr w:type="spellEnd"/>
            <w:r>
              <w:t xml:space="preserve">, perçin çivileri, pimler, kamalar, </w:t>
            </w:r>
            <w:proofErr w:type="spellStart"/>
            <w:r>
              <w:t>ronde</w:t>
            </w:r>
            <w:proofErr w:type="spellEnd"/>
          </w:p>
        </w:tc>
        <w:tc>
          <w:tcPr>
            <w:tcW w:w="1005" w:type="dxa"/>
            <w:noWrap/>
            <w:vAlign w:val="center"/>
            <w:hideMark/>
          </w:tcPr>
          <w:p w:rsidR="00A209E1" w:rsidRDefault="00A209E1">
            <w:pPr>
              <w:pStyle w:val="NormalWeb"/>
              <w:jc w:val="center"/>
            </w:pPr>
            <w:r>
              <w:t>27,4</w:t>
            </w:r>
          </w:p>
        </w:tc>
        <w:tc>
          <w:tcPr>
            <w:tcW w:w="1095" w:type="dxa"/>
            <w:noWrap/>
            <w:vAlign w:val="center"/>
            <w:hideMark/>
          </w:tcPr>
          <w:p w:rsidR="00A209E1" w:rsidRDefault="00A209E1">
            <w:pPr>
              <w:pStyle w:val="NormalWeb"/>
              <w:jc w:val="center"/>
            </w:pPr>
            <w:r>
              <w:t>42,2</w:t>
            </w:r>
          </w:p>
        </w:tc>
        <w:tc>
          <w:tcPr>
            <w:tcW w:w="1005" w:type="dxa"/>
            <w:noWrap/>
            <w:vAlign w:val="center"/>
            <w:hideMark/>
          </w:tcPr>
          <w:p w:rsidR="00A209E1" w:rsidRDefault="00A209E1">
            <w:pPr>
              <w:pStyle w:val="NormalWeb"/>
              <w:jc w:val="center"/>
            </w:pPr>
            <w:r>
              <w:t>47,3</w:t>
            </w:r>
          </w:p>
        </w:tc>
      </w:tr>
      <w:tr w:rsidR="00A209E1" w:rsidTr="00A209E1">
        <w:trPr>
          <w:trHeight w:val="195"/>
          <w:tblCellSpacing w:w="0" w:type="dxa"/>
        </w:trPr>
        <w:tc>
          <w:tcPr>
            <w:tcW w:w="750" w:type="dxa"/>
            <w:vAlign w:val="center"/>
            <w:hideMark/>
          </w:tcPr>
          <w:p w:rsidR="00A209E1" w:rsidRDefault="00A209E1">
            <w:pPr>
              <w:pStyle w:val="NormalWeb"/>
              <w:spacing w:line="195" w:lineRule="atLeast"/>
            </w:pPr>
            <w:r>
              <w:t>8528</w:t>
            </w:r>
          </w:p>
        </w:tc>
        <w:tc>
          <w:tcPr>
            <w:tcW w:w="5415" w:type="dxa"/>
            <w:vAlign w:val="center"/>
            <w:hideMark/>
          </w:tcPr>
          <w:p w:rsidR="00A209E1" w:rsidRDefault="00A209E1">
            <w:pPr>
              <w:pStyle w:val="NormalWeb"/>
              <w:spacing w:line="195" w:lineRule="atLeast"/>
            </w:pPr>
            <w:r>
              <w:t xml:space="preserve">Monitörler ve </w:t>
            </w:r>
            <w:proofErr w:type="gramStart"/>
            <w:r>
              <w:t>projektörler</w:t>
            </w:r>
            <w:proofErr w:type="gramEnd"/>
            <w:r>
              <w:t>, televizyon alıcı cihazları</w:t>
            </w:r>
          </w:p>
        </w:tc>
        <w:tc>
          <w:tcPr>
            <w:tcW w:w="1005" w:type="dxa"/>
            <w:noWrap/>
            <w:vAlign w:val="center"/>
            <w:hideMark/>
          </w:tcPr>
          <w:p w:rsidR="00A209E1" w:rsidRDefault="00A209E1">
            <w:pPr>
              <w:pStyle w:val="NormalWeb"/>
              <w:spacing w:line="195" w:lineRule="atLeast"/>
              <w:jc w:val="center"/>
            </w:pPr>
            <w:r>
              <w:t>16,6</w:t>
            </w:r>
          </w:p>
        </w:tc>
        <w:tc>
          <w:tcPr>
            <w:tcW w:w="1095" w:type="dxa"/>
            <w:noWrap/>
            <w:vAlign w:val="center"/>
            <w:hideMark/>
          </w:tcPr>
          <w:p w:rsidR="00A209E1" w:rsidRDefault="00A209E1">
            <w:pPr>
              <w:pStyle w:val="NormalWeb"/>
              <w:spacing w:line="195" w:lineRule="atLeast"/>
              <w:jc w:val="center"/>
            </w:pPr>
            <w:r>
              <w:t>14,4</w:t>
            </w:r>
          </w:p>
        </w:tc>
        <w:tc>
          <w:tcPr>
            <w:tcW w:w="1005" w:type="dxa"/>
            <w:noWrap/>
            <w:vAlign w:val="center"/>
            <w:hideMark/>
          </w:tcPr>
          <w:p w:rsidR="00A209E1" w:rsidRDefault="00A209E1">
            <w:pPr>
              <w:pStyle w:val="NormalWeb"/>
              <w:spacing w:line="195" w:lineRule="atLeast"/>
              <w:jc w:val="center"/>
            </w:pPr>
            <w:r>
              <w:t>36,9</w:t>
            </w:r>
          </w:p>
        </w:tc>
      </w:tr>
      <w:tr w:rsidR="00A209E1" w:rsidTr="00A209E1">
        <w:trPr>
          <w:trHeight w:val="60"/>
          <w:tblCellSpacing w:w="0" w:type="dxa"/>
        </w:trPr>
        <w:tc>
          <w:tcPr>
            <w:tcW w:w="750" w:type="dxa"/>
            <w:vAlign w:val="center"/>
            <w:hideMark/>
          </w:tcPr>
          <w:p w:rsidR="00A209E1" w:rsidRDefault="00A209E1">
            <w:pPr>
              <w:pStyle w:val="NormalWeb"/>
              <w:spacing w:line="60" w:lineRule="atLeast"/>
            </w:pPr>
            <w:r>
              <w:t>5402</w:t>
            </w:r>
          </w:p>
        </w:tc>
        <w:tc>
          <w:tcPr>
            <w:tcW w:w="5415" w:type="dxa"/>
            <w:vAlign w:val="center"/>
            <w:hideMark/>
          </w:tcPr>
          <w:p w:rsidR="00A209E1" w:rsidRDefault="00A209E1">
            <w:pPr>
              <w:pStyle w:val="NormalWeb"/>
              <w:spacing w:line="60" w:lineRule="atLeast"/>
            </w:pPr>
            <w:r>
              <w:t xml:space="preserve">Sentetik </w:t>
            </w:r>
            <w:proofErr w:type="spellStart"/>
            <w:r>
              <w:t>filament</w:t>
            </w:r>
            <w:proofErr w:type="spellEnd"/>
            <w:r>
              <w:t xml:space="preserve"> iplikleri (dikiş ipliği hariç) (perakende olarak satılacak hale getirilmemiş)</w:t>
            </w:r>
          </w:p>
        </w:tc>
        <w:tc>
          <w:tcPr>
            <w:tcW w:w="1005" w:type="dxa"/>
            <w:noWrap/>
            <w:vAlign w:val="center"/>
            <w:hideMark/>
          </w:tcPr>
          <w:p w:rsidR="00A209E1" w:rsidRDefault="00A209E1">
            <w:pPr>
              <w:pStyle w:val="NormalWeb"/>
              <w:spacing w:line="60" w:lineRule="atLeast"/>
              <w:jc w:val="center"/>
            </w:pPr>
            <w:r>
              <w:t>52,8</w:t>
            </w:r>
          </w:p>
        </w:tc>
        <w:tc>
          <w:tcPr>
            <w:tcW w:w="1095" w:type="dxa"/>
            <w:noWrap/>
            <w:vAlign w:val="center"/>
            <w:hideMark/>
          </w:tcPr>
          <w:p w:rsidR="00A209E1" w:rsidRDefault="00A209E1">
            <w:pPr>
              <w:pStyle w:val="NormalWeb"/>
              <w:spacing w:line="60" w:lineRule="atLeast"/>
              <w:jc w:val="center"/>
            </w:pPr>
            <w:r>
              <w:t>37,7</w:t>
            </w:r>
          </w:p>
        </w:tc>
        <w:tc>
          <w:tcPr>
            <w:tcW w:w="1005" w:type="dxa"/>
            <w:noWrap/>
            <w:vAlign w:val="center"/>
            <w:hideMark/>
          </w:tcPr>
          <w:p w:rsidR="00A209E1" w:rsidRDefault="00A209E1">
            <w:pPr>
              <w:pStyle w:val="NormalWeb"/>
              <w:spacing w:line="60" w:lineRule="atLeast"/>
              <w:jc w:val="center"/>
            </w:pPr>
            <w:r>
              <w:t>34,9</w:t>
            </w:r>
          </w:p>
        </w:tc>
      </w:tr>
      <w:tr w:rsidR="00A209E1" w:rsidTr="00A209E1">
        <w:trPr>
          <w:trHeight w:val="330"/>
          <w:tblCellSpacing w:w="0" w:type="dxa"/>
        </w:trPr>
        <w:tc>
          <w:tcPr>
            <w:tcW w:w="750" w:type="dxa"/>
            <w:vAlign w:val="center"/>
            <w:hideMark/>
          </w:tcPr>
          <w:p w:rsidR="00A209E1" w:rsidRDefault="00A209E1">
            <w:pPr>
              <w:pStyle w:val="NormalWeb"/>
            </w:pPr>
            <w:r>
              <w:t>7220</w:t>
            </w:r>
          </w:p>
        </w:tc>
        <w:tc>
          <w:tcPr>
            <w:tcW w:w="5415" w:type="dxa"/>
            <w:vAlign w:val="center"/>
            <w:hideMark/>
          </w:tcPr>
          <w:p w:rsidR="00A209E1" w:rsidRDefault="00A209E1">
            <w:pPr>
              <w:pStyle w:val="NormalWeb"/>
            </w:pPr>
            <w:r>
              <w:t>Paslanmaz çelikten yassı hadde mamulleri (genişliği 600 mm. Den az olanlar)</w:t>
            </w:r>
          </w:p>
        </w:tc>
        <w:tc>
          <w:tcPr>
            <w:tcW w:w="1005" w:type="dxa"/>
            <w:noWrap/>
            <w:vAlign w:val="center"/>
            <w:hideMark/>
          </w:tcPr>
          <w:p w:rsidR="00A209E1" w:rsidRDefault="00A209E1">
            <w:pPr>
              <w:pStyle w:val="NormalWeb"/>
              <w:jc w:val="center"/>
            </w:pPr>
            <w:r>
              <w:t>26,2</w:t>
            </w:r>
          </w:p>
        </w:tc>
        <w:tc>
          <w:tcPr>
            <w:tcW w:w="1095" w:type="dxa"/>
            <w:noWrap/>
            <w:vAlign w:val="center"/>
            <w:hideMark/>
          </w:tcPr>
          <w:p w:rsidR="00A209E1" w:rsidRDefault="00A209E1">
            <w:pPr>
              <w:pStyle w:val="NormalWeb"/>
              <w:jc w:val="center"/>
            </w:pPr>
            <w:r>
              <w:t>26,8</w:t>
            </w:r>
          </w:p>
        </w:tc>
        <w:tc>
          <w:tcPr>
            <w:tcW w:w="1005" w:type="dxa"/>
            <w:noWrap/>
            <w:vAlign w:val="center"/>
            <w:hideMark/>
          </w:tcPr>
          <w:p w:rsidR="00A209E1" w:rsidRDefault="00A209E1">
            <w:pPr>
              <w:pStyle w:val="NormalWeb"/>
              <w:jc w:val="center"/>
            </w:pPr>
            <w:r>
              <w:t>33,5</w:t>
            </w:r>
          </w:p>
        </w:tc>
      </w:tr>
      <w:tr w:rsidR="00A209E1" w:rsidTr="00A209E1">
        <w:trPr>
          <w:trHeight w:val="315"/>
          <w:tblCellSpacing w:w="0" w:type="dxa"/>
        </w:trPr>
        <w:tc>
          <w:tcPr>
            <w:tcW w:w="750" w:type="dxa"/>
            <w:vAlign w:val="center"/>
            <w:hideMark/>
          </w:tcPr>
          <w:p w:rsidR="00A209E1" w:rsidRDefault="00A209E1">
            <w:pPr>
              <w:pStyle w:val="NormalWeb"/>
            </w:pPr>
            <w:r>
              <w:t>3906</w:t>
            </w:r>
          </w:p>
        </w:tc>
        <w:tc>
          <w:tcPr>
            <w:tcW w:w="5415" w:type="dxa"/>
            <w:vAlign w:val="center"/>
            <w:hideMark/>
          </w:tcPr>
          <w:p w:rsidR="00A209E1" w:rsidRDefault="00A209E1">
            <w:pPr>
              <w:pStyle w:val="NormalWeb"/>
            </w:pPr>
            <w:r>
              <w:t>Akrilik polimerleri (ilk şekillerde)</w:t>
            </w:r>
          </w:p>
        </w:tc>
        <w:tc>
          <w:tcPr>
            <w:tcW w:w="1005" w:type="dxa"/>
            <w:noWrap/>
            <w:vAlign w:val="center"/>
            <w:hideMark/>
          </w:tcPr>
          <w:p w:rsidR="00A209E1" w:rsidRDefault="00A209E1">
            <w:pPr>
              <w:pStyle w:val="NormalWeb"/>
              <w:jc w:val="center"/>
            </w:pPr>
            <w:r>
              <w:t>22,2</w:t>
            </w:r>
          </w:p>
        </w:tc>
        <w:tc>
          <w:tcPr>
            <w:tcW w:w="1095" w:type="dxa"/>
            <w:noWrap/>
            <w:vAlign w:val="center"/>
            <w:hideMark/>
          </w:tcPr>
          <w:p w:rsidR="00A209E1" w:rsidRDefault="00A209E1">
            <w:pPr>
              <w:pStyle w:val="NormalWeb"/>
              <w:jc w:val="center"/>
            </w:pPr>
            <w:r>
              <w:t>47,5</w:t>
            </w:r>
          </w:p>
        </w:tc>
        <w:tc>
          <w:tcPr>
            <w:tcW w:w="1005" w:type="dxa"/>
            <w:noWrap/>
            <w:vAlign w:val="center"/>
            <w:hideMark/>
          </w:tcPr>
          <w:p w:rsidR="00A209E1" w:rsidRDefault="00A209E1">
            <w:pPr>
              <w:pStyle w:val="NormalWeb"/>
              <w:jc w:val="center"/>
            </w:pPr>
            <w:r>
              <w:t>33,5</w:t>
            </w:r>
          </w:p>
        </w:tc>
      </w:tr>
      <w:tr w:rsidR="00A209E1" w:rsidTr="00A209E1">
        <w:trPr>
          <w:trHeight w:val="435"/>
          <w:tblCellSpacing w:w="0" w:type="dxa"/>
        </w:trPr>
        <w:tc>
          <w:tcPr>
            <w:tcW w:w="750" w:type="dxa"/>
            <w:vAlign w:val="center"/>
            <w:hideMark/>
          </w:tcPr>
          <w:p w:rsidR="00A209E1" w:rsidRDefault="00A209E1">
            <w:pPr>
              <w:pStyle w:val="NormalWeb"/>
            </w:pPr>
            <w:r>
              <w:t>8523</w:t>
            </w:r>
          </w:p>
        </w:tc>
        <w:tc>
          <w:tcPr>
            <w:tcW w:w="5415" w:type="dxa"/>
            <w:vAlign w:val="center"/>
            <w:hideMark/>
          </w:tcPr>
          <w:p w:rsidR="00A209E1" w:rsidRDefault="00A209E1">
            <w:pPr>
              <w:pStyle w:val="NormalWeb"/>
            </w:pPr>
            <w:r>
              <w:t xml:space="preserve">Sesleri ve diğer </w:t>
            </w:r>
            <w:proofErr w:type="gramStart"/>
            <w:r>
              <w:t>fenomenleri</w:t>
            </w:r>
            <w:proofErr w:type="gramEnd"/>
            <w:r>
              <w:t xml:space="preserve"> kaydetmeye mahsus diskler, bantlar, katı hal kalıcı depolama aygıtları,</w:t>
            </w:r>
          </w:p>
        </w:tc>
        <w:tc>
          <w:tcPr>
            <w:tcW w:w="1005" w:type="dxa"/>
            <w:noWrap/>
            <w:vAlign w:val="center"/>
            <w:hideMark/>
          </w:tcPr>
          <w:p w:rsidR="00A209E1" w:rsidRDefault="00A209E1">
            <w:pPr>
              <w:pStyle w:val="NormalWeb"/>
              <w:jc w:val="center"/>
            </w:pPr>
            <w:r>
              <w:t>33,2</w:t>
            </w:r>
          </w:p>
        </w:tc>
        <w:tc>
          <w:tcPr>
            <w:tcW w:w="1095" w:type="dxa"/>
            <w:noWrap/>
            <w:vAlign w:val="center"/>
            <w:hideMark/>
          </w:tcPr>
          <w:p w:rsidR="00A209E1" w:rsidRDefault="00A209E1">
            <w:pPr>
              <w:pStyle w:val="NormalWeb"/>
              <w:jc w:val="center"/>
            </w:pPr>
            <w:r>
              <w:t>31,5</w:t>
            </w:r>
          </w:p>
        </w:tc>
        <w:tc>
          <w:tcPr>
            <w:tcW w:w="1005" w:type="dxa"/>
            <w:noWrap/>
            <w:vAlign w:val="center"/>
            <w:hideMark/>
          </w:tcPr>
          <w:p w:rsidR="00A209E1" w:rsidRDefault="00A209E1">
            <w:pPr>
              <w:pStyle w:val="NormalWeb"/>
              <w:jc w:val="center"/>
            </w:pPr>
            <w:r>
              <w:t>30,1</w:t>
            </w:r>
          </w:p>
        </w:tc>
      </w:tr>
      <w:tr w:rsidR="00A209E1" w:rsidTr="00A209E1">
        <w:trPr>
          <w:trHeight w:val="150"/>
          <w:tblCellSpacing w:w="0" w:type="dxa"/>
        </w:trPr>
        <w:tc>
          <w:tcPr>
            <w:tcW w:w="750" w:type="dxa"/>
            <w:vAlign w:val="center"/>
            <w:hideMark/>
          </w:tcPr>
          <w:p w:rsidR="00A209E1" w:rsidRDefault="00A209E1">
            <w:pPr>
              <w:pStyle w:val="NormalWeb"/>
              <w:spacing w:line="150" w:lineRule="atLeast"/>
            </w:pPr>
            <w:r>
              <w:t>8477</w:t>
            </w:r>
          </w:p>
        </w:tc>
        <w:tc>
          <w:tcPr>
            <w:tcW w:w="5415" w:type="dxa"/>
            <w:vAlign w:val="center"/>
            <w:hideMark/>
          </w:tcPr>
          <w:p w:rsidR="00A209E1" w:rsidRDefault="00A209E1">
            <w:pPr>
              <w:pStyle w:val="NormalWeb"/>
              <w:spacing w:line="150" w:lineRule="atLeast"/>
            </w:pPr>
            <w:r>
              <w:t>Kauçuk veya plastiğin işlenmesine veya kauçuk veya plastikten eşyanın imaline mahsus diğer makina ve</w:t>
            </w:r>
          </w:p>
        </w:tc>
        <w:tc>
          <w:tcPr>
            <w:tcW w:w="1005" w:type="dxa"/>
            <w:noWrap/>
            <w:vAlign w:val="center"/>
            <w:hideMark/>
          </w:tcPr>
          <w:p w:rsidR="00A209E1" w:rsidRDefault="00A209E1">
            <w:pPr>
              <w:pStyle w:val="NormalWeb"/>
              <w:spacing w:line="150" w:lineRule="atLeast"/>
              <w:jc w:val="center"/>
            </w:pPr>
            <w:r>
              <w:t>31,2</w:t>
            </w:r>
          </w:p>
        </w:tc>
        <w:tc>
          <w:tcPr>
            <w:tcW w:w="1095" w:type="dxa"/>
            <w:noWrap/>
            <w:vAlign w:val="center"/>
            <w:hideMark/>
          </w:tcPr>
          <w:p w:rsidR="00A209E1" w:rsidRDefault="00A209E1">
            <w:pPr>
              <w:pStyle w:val="NormalWeb"/>
              <w:spacing w:line="150" w:lineRule="atLeast"/>
              <w:jc w:val="center"/>
            </w:pPr>
            <w:r>
              <w:t>37,2</w:t>
            </w:r>
          </w:p>
        </w:tc>
        <w:tc>
          <w:tcPr>
            <w:tcW w:w="1005" w:type="dxa"/>
            <w:noWrap/>
            <w:vAlign w:val="center"/>
            <w:hideMark/>
          </w:tcPr>
          <w:p w:rsidR="00A209E1" w:rsidRDefault="00A209E1">
            <w:pPr>
              <w:pStyle w:val="NormalWeb"/>
              <w:spacing w:line="150" w:lineRule="atLeast"/>
              <w:jc w:val="center"/>
            </w:pPr>
            <w:r>
              <w:t>29,1</w:t>
            </w:r>
          </w:p>
        </w:tc>
      </w:tr>
      <w:tr w:rsidR="00A209E1" w:rsidTr="00A209E1">
        <w:trPr>
          <w:trHeight w:val="60"/>
          <w:tblCellSpacing w:w="0" w:type="dxa"/>
        </w:trPr>
        <w:tc>
          <w:tcPr>
            <w:tcW w:w="750" w:type="dxa"/>
            <w:vAlign w:val="center"/>
            <w:hideMark/>
          </w:tcPr>
          <w:p w:rsidR="00A209E1" w:rsidRDefault="00A209E1">
            <w:pPr>
              <w:pStyle w:val="NormalWeb"/>
              <w:spacing w:line="60" w:lineRule="atLeast"/>
            </w:pPr>
            <w:r>
              <w:t>3204</w:t>
            </w:r>
          </w:p>
        </w:tc>
        <w:tc>
          <w:tcPr>
            <w:tcW w:w="5415" w:type="dxa"/>
            <w:vAlign w:val="center"/>
            <w:hideMark/>
          </w:tcPr>
          <w:p w:rsidR="00A209E1" w:rsidRDefault="00A209E1">
            <w:pPr>
              <w:pStyle w:val="NormalWeb"/>
              <w:spacing w:line="60" w:lineRule="atLeast"/>
            </w:pPr>
            <w:r>
              <w:t xml:space="preserve">Sentetik organik boyayıcı maddeler, </w:t>
            </w:r>
            <w:proofErr w:type="spellStart"/>
            <w:r>
              <w:t>fluoresanlı</w:t>
            </w:r>
            <w:proofErr w:type="spellEnd"/>
            <w:r>
              <w:t xml:space="preserve"> aydınlatma maddeleri veya </w:t>
            </w:r>
            <w:proofErr w:type="spellStart"/>
            <w:r>
              <w:t>lüminofor</w:t>
            </w:r>
            <w:proofErr w:type="spellEnd"/>
            <w:r>
              <w:t xml:space="preserve"> olarak kullanıla</w:t>
            </w:r>
          </w:p>
        </w:tc>
        <w:tc>
          <w:tcPr>
            <w:tcW w:w="1005" w:type="dxa"/>
            <w:noWrap/>
            <w:vAlign w:val="center"/>
            <w:hideMark/>
          </w:tcPr>
          <w:p w:rsidR="00A209E1" w:rsidRDefault="00A209E1">
            <w:pPr>
              <w:pStyle w:val="NormalWeb"/>
              <w:spacing w:line="60" w:lineRule="atLeast"/>
              <w:jc w:val="center"/>
            </w:pPr>
            <w:r>
              <w:t>21,5</w:t>
            </w:r>
          </w:p>
        </w:tc>
        <w:tc>
          <w:tcPr>
            <w:tcW w:w="1095" w:type="dxa"/>
            <w:noWrap/>
            <w:vAlign w:val="center"/>
            <w:hideMark/>
          </w:tcPr>
          <w:p w:rsidR="00A209E1" w:rsidRDefault="00A209E1">
            <w:pPr>
              <w:pStyle w:val="NormalWeb"/>
              <w:spacing w:line="60" w:lineRule="atLeast"/>
              <w:jc w:val="center"/>
            </w:pPr>
            <w:r>
              <w:t>25,8</w:t>
            </w:r>
          </w:p>
        </w:tc>
        <w:tc>
          <w:tcPr>
            <w:tcW w:w="1005" w:type="dxa"/>
            <w:noWrap/>
            <w:vAlign w:val="center"/>
            <w:hideMark/>
          </w:tcPr>
          <w:p w:rsidR="00A209E1" w:rsidRDefault="00A209E1">
            <w:pPr>
              <w:pStyle w:val="NormalWeb"/>
              <w:spacing w:line="60" w:lineRule="atLeast"/>
              <w:jc w:val="center"/>
            </w:pPr>
            <w:r>
              <w:t>28,9</w:t>
            </w:r>
          </w:p>
        </w:tc>
      </w:tr>
      <w:tr w:rsidR="00A209E1" w:rsidTr="00A209E1">
        <w:trPr>
          <w:trHeight w:val="60"/>
          <w:tblCellSpacing w:w="0" w:type="dxa"/>
        </w:trPr>
        <w:tc>
          <w:tcPr>
            <w:tcW w:w="750" w:type="dxa"/>
            <w:vAlign w:val="center"/>
            <w:hideMark/>
          </w:tcPr>
          <w:p w:rsidR="00A209E1" w:rsidRDefault="00A209E1">
            <w:pPr>
              <w:pStyle w:val="NormalWeb"/>
              <w:spacing w:line="60" w:lineRule="atLeast"/>
            </w:pPr>
            <w:r>
              <w:lastRenderedPageBreak/>
              <w:t>3907</w:t>
            </w:r>
          </w:p>
        </w:tc>
        <w:tc>
          <w:tcPr>
            <w:tcW w:w="5415" w:type="dxa"/>
            <w:vAlign w:val="center"/>
            <w:hideMark/>
          </w:tcPr>
          <w:p w:rsidR="00A209E1" w:rsidRDefault="00A209E1">
            <w:pPr>
              <w:pStyle w:val="NormalWeb"/>
              <w:spacing w:line="60" w:lineRule="atLeast"/>
            </w:pPr>
            <w:proofErr w:type="spellStart"/>
            <w:r>
              <w:t>Poliasetaller</w:t>
            </w:r>
            <w:proofErr w:type="spellEnd"/>
            <w:r>
              <w:t xml:space="preserve">, diğer </w:t>
            </w:r>
            <w:proofErr w:type="spellStart"/>
            <w:r>
              <w:t>polieterler</w:t>
            </w:r>
            <w:proofErr w:type="spellEnd"/>
            <w:r>
              <w:t xml:space="preserve">, </w:t>
            </w:r>
            <w:proofErr w:type="spellStart"/>
            <w:r>
              <w:t>epoksi</w:t>
            </w:r>
            <w:proofErr w:type="spellEnd"/>
            <w:r>
              <w:t xml:space="preserve"> reçineler, </w:t>
            </w:r>
            <w:proofErr w:type="spellStart"/>
            <w:r>
              <w:t>polikarbonatlar</w:t>
            </w:r>
            <w:proofErr w:type="spellEnd"/>
            <w:r>
              <w:t xml:space="preserve">, </w:t>
            </w:r>
            <w:proofErr w:type="spellStart"/>
            <w:r>
              <w:t>alkit</w:t>
            </w:r>
            <w:proofErr w:type="spellEnd"/>
            <w:r>
              <w:t xml:space="preserve"> reçineler, </w:t>
            </w:r>
            <w:proofErr w:type="spellStart"/>
            <w:r>
              <w:t>polialiesterle</w:t>
            </w:r>
            <w:proofErr w:type="spellEnd"/>
          </w:p>
        </w:tc>
        <w:tc>
          <w:tcPr>
            <w:tcW w:w="1005" w:type="dxa"/>
            <w:noWrap/>
            <w:vAlign w:val="center"/>
            <w:hideMark/>
          </w:tcPr>
          <w:p w:rsidR="00A209E1" w:rsidRDefault="00A209E1">
            <w:pPr>
              <w:pStyle w:val="NormalWeb"/>
              <w:spacing w:line="60" w:lineRule="atLeast"/>
              <w:jc w:val="center"/>
            </w:pPr>
            <w:r>
              <w:t>36,7</w:t>
            </w:r>
          </w:p>
        </w:tc>
        <w:tc>
          <w:tcPr>
            <w:tcW w:w="1095" w:type="dxa"/>
            <w:noWrap/>
            <w:vAlign w:val="center"/>
            <w:hideMark/>
          </w:tcPr>
          <w:p w:rsidR="00A209E1" w:rsidRDefault="00A209E1">
            <w:pPr>
              <w:pStyle w:val="NormalWeb"/>
              <w:spacing w:line="60" w:lineRule="atLeast"/>
              <w:jc w:val="center"/>
            </w:pPr>
            <w:r>
              <w:t>56,7</w:t>
            </w:r>
          </w:p>
        </w:tc>
        <w:tc>
          <w:tcPr>
            <w:tcW w:w="1005" w:type="dxa"/>
            <w:noWrap/>
            <w:vAlign w:val="center"/>
            <w:hideMark/>
          </w:tcPr>
          <w:p w:rsidR="00A209E1" w:rsidRDefault="00A209E1">
            <w:pPr>
              <w:pStyle w:val="NormalWeb"/>
              <w:spacing w:line="60" w:lineRule="atLeast"/>
              <w:jc w:val="center"/>
            </w:pPr>
            <w:r>
              <w:t>28,7</w:t>
            </w:r>
          </w:p>
        </w:tc>
      </w:tr>
      <w:tr w:rsidR="00A209E1" w:rsidTr="00A209E1">
        <w:trPr>
          <w:trHeight w:val="420"/>
          <w:tblCellSpacing w:w="0" w:type="dxa"/>
        </w:trPr>
        <w:tc>
          <w:tcPr>
            <w:tcW w:w="750" w:type="dxa"/>
            <w:vAlign w:val="center"/>
            <w:hideMark/>
          </w:tcPr>
          <w:p w:rsidR="00A209E1" w:rsidRDefault="00A209E1">
            <w:pPr>
              <w:pStyle w:val="NormalWeb"/>
            </w:pPr>
            <w:r>
              <w:t>8471</w:t>
            </w:r>
          </w:p>
        </w:tc>
        <w:tc>
          <w:tcPr>
            <w:tcW w:w="5415" w:type="dxa"/>
            <w:vAlign w:val="center"/>
            <w:hideMark/>
          </w:tcPr>
          <w:p w:rsidR="00A209E1" w:rsidRDefault="00A209E1">
            <w:pPr>
              <w:pStyle w:val="NormalWeb"/>
            </w:pPr>
            <w:r>
              <w:t xml:space="preserve">Otomatik bilgi işlem </w:t>
            </w:r>
            <w:proofErr w:type="spellStart"/>
            <w:r>
              <w:t>mak</w:t>
            </w:r>
            <w:proofErr w:type="spellEnd"/>
            <w:r>
              <w:t xml:space="preserve">. Bunlara ait birimler; manyetik veya optik okuyucular, verileri koda </w:t>
            </w:r>
            <w:proofErr w:type="spellStart"/>
            <w:r>
              <w:t>dönüşt</w:t>
            </w:r>
            <w:proofErr w:type="spellEnd"/>
          </w:p>
        </w:tc>
        <w:tc>
          <w:tcPr>
            <w:tcW w:w="1005" w:type="dxa"/>
            <w:noWrap/>
            <w:vAlign w:val="center"/>
            <w:hideMark/>
          </w:tcPr>
          <w:p w:rsidR="00A209E1" w:rsidRDefault="00A209E1">
            <w:pPr>
              <w:pStyle w:val="NormalWeb"/>
              <w:jc w:val="center"/>
            </w:pPr>
            <w:r>
              <w:t>26,4</w:t>
            </w:r>
          </w:p>
        </w:tc>
        <w:tc>
          <w:tcPr>
            <w:tcW w:w="1095" w:type="dxa"/>
            <w:noWrap/>
            <w:vAlign w:val="center"/>
            <w:hideMark/>
          </w:tcPr>
          <w:p w:rsidR="00A209E1" w:rsidRDefault="00A209E1">
            <w:pPr>
              <w:pStyle w:val="NormalWeb"/>
              <w:jc w:val="center"/>
            </w:pPr>
            <w:r>
              <w:t>24,2</w:t>
            </w:r>
          </w:p>
        </w:tc>
        <w:tc>
          <w:tcPr>
            <w:tcW w:w="1005" w:type="dxa"/>
            <w:noWrap/>
            <w:vAlign w:val="center"/>
            <w:hideMark/>
          </w:tcPr>
          <w:p w:rsidR="00A209E1" w:rsidRDefault="00A209E1">
            <w:pPr>
              <w:pStyle w:val="NormalWeb"/>
              <w:jc w:val="center"/>
            </w:pPr>
            <w:r>
              <w:t>28,0</w:t>
            </w:r>
          </w:p>
        </w:tc>
      </w:tr>
      <w:tr w:rsidR="00A209E1" w:rsidTr="00A209E1">
        <w:trPr>
          <w:trHeight w:val="60"/>
          <w:tblCellSpacing w:w="0" w:type="dxa"/>
        </w:trPr>
        <w:tc>
          <w:tcPr>
            <w:tcW w:w="750" w:type="dxa"/>
            <w:vAlign w:val="center"/>
            <w:hideMark/>
          </w:tcPr>
          <w:p w:rsidR="00A209E1" w:rsidRDefault="00A209E1">
            <w:pPr>
              <w:pStyle w:val="NormalWeb"/>
              <w:spacing w:line="60" w:lineRule="atLeast"/>
            </w:pPr>
            <w:r>
              <w:t>8708</w:t>
            </w:r>
          </w:p>
        </w:tc>
        <w:tc>
          <w:tcPr>
            <w:tcW w:w="5415" w:type="dxa"/>
            <w:vAlign w:val="center"/>
            <w:hideMark/>
          </w:tcPr>
          <w:p w:rsidR="00A209E1" w:rsidRDefault="00A209E1">
            <w:pPr>
              <w:pStyle w:val="NormalWeb"/>
              <w:spacing w:line="60" w:lineRule="atLeast"/>
            </w:pPr>
            <w:r>
              <w:t>Karayolu taşıtları için aksam, parça ve aksesuarlar</w:t>
            </w:r>
          </w:p>
        </w:tc>
        <w:tc>
          <w:tcPr>
            <w:tcW w:w="1005" w:type="dxa"/>
            <w:noWrap/>
            <w:vAlign w:val="center"/>
            <w:hideMark/>
          </w:tcPr>
          <w:p w:rsidR="00A209E1" w:rsidRDefault="00A209E1">
            <w:pPr>
              <w:pStyle w:val="NormalWeb"/>
              <w:spacing w:line="60" w:lineRule="atLeast"/>
              <w:jc w:val="center"/>
            </w:pPr>
            <w:r>
              <w:t>27,7</w:t>
            </w:r>
          </w:p>
        </w:tc>
        <w:tc>
          <w:tcPr>
            <w:tcW w:w="1095" w:type="dxa"/>
            <w:noWrap/>
            <w:vAlign w:val="center"/>
            <w:hideMark/>
          </w:tcPr>
          <w:p w:rsidR="00A209E1" w:rsidRDefault="00A209E1">
            <w:pPr>
              <w:pStyle w:val="NormalWeb"/>
              <w:spacing w:line="60" w:lineRule="atLeast"/>
              <w:jc w:val="center"/>
            </w:pPr>
            <w:r>
              <w:t>27,4</w:t>
            </w:r>
          </w:p>
        </w:tc>
        <w:tc>
          <w:tcPr>
            <w:tcW w:w="1005" w:type="dxa"/>
            <w:noWrap/>
            <w:vAlign w:val="center"/>
            <w:hideMark/>
          </w:tcPr>
          <w:p w:rsidR="00A209E1" w:rsidRDefault="00A209E1">
            <w:pPr>
              <w:pStyle w:val="NormalWeb"/>
              <w:spacing w:line="60" w:lineRule="atLeast"/>
              <w:jc w:val="center"/>
            </w:pPr>
            <w:r>
              <w:t>27,3</w:t>
            </w:r>
          </w:p>
        </w:tc>
      </w:tr>
      <w:tr w:rsidR="00A209E1" w:rsidTr="00A209E1">
        <w:trPr>
          <w:trHeight w:val="315"/>
          <w:tblCellSpacing w:w="0" w:type="dxa"/>
        </w:trPr>
        <w:tc>
          <w:tcPr>
            <w:tcW w:w="750" w:type="dxa"/>
            <w:vAlign w:val="center"/>
            <w:hideMark/>
          </w:tcPr>
          <w:p w:rsidR="00A209E1" w:rsidRDefault="00A209E1">
            <w:pPr>
              <w:pStyle w:val="NormalWeb"/>
            </w:pPr>
            <w:r>
              <w:t>3903</w:t>
            </w:r>
          </w:p>
        </w:tc>
        <w:tc>
          <w:tcPr>
            <w:tcW w:w="5415" w:type="dxa"/>
            <w:vAlign w:val="center"/>
            <w:hideMark/>
          </w:tcPr>
          <w:p w:rsidR="00A209E1" w:rsidRDefault="00A209E1">
            <w:pPr>
              <w:pStyle w:val="NormalWeb"/>
            </w:pPr>
            <w:proofErr w:type="spellStart"/>
            <w:r>
              <w:t>Stiren</w:t>
            </w:r>
            <w:proofErr w:type="spellEnd"/>
            <w:r>
              <w:t xml:space="preserve"> polimerleri (ilk şekillerde)</w:t>
            </w:r>
          </w:p>
        </w:tc>
        <w:tc>
          <w:tcPr>
            <w:tcW w:w="1005" w:type="dxa"/>
            <w:noWrap/>
            <w:vAlign w:val="center"/>
            <w:hideMark/>
          </w:tcPr>
          <w:p w:rsidR="00A209E1" w:rsidRDefault="00A209E1">
            <w:pPr>
              <w:pStyle w:val="NormalWeb"/>
              <w:jc w:val="center"/>
            </w:pPr>
            <w:r>
              <w:t>52,9</w:t>
            </w:r>
          </w:p>
        </w:tc>
        <w:tc>
          <w:tcPr>
            <w:tcW w:w="1095" w:type="dxa"/>
            <w:noWrap/>
            <w:vAlign w:val="center"/>
            <w:hideMark/>
          </w:tcPr>
          <w:p w:rsidR="00A209E1" w:rsidRDefault="00A209E1">
            <w:pPr>
              <w:pStyle w:val="NormalWeb"/>
              <w:jc w:val="center"/>
            </w:pPr>
            <w:r>
              <w:t>37,7</w:t>
            </w:r>
          </w:p>
        </w:tc>
        <w:tc>
          <w:tcPr>
            <w:tcW w:w="1005" w:type="dxa"/>
            <w:noWrap/>
            <w:vAlign w:val="center"/>
            <w:hideMark/>
          </w:tcPr>
          <w:p w:rsidR="00A209E1" w:rsidRDefault="00A209E1">
            <w:pPr>
              <w:pStyle w:val="NormalWeb"/>
              <w:jc w:val="center"/>
            </w:pPr>
            <w:r>
              <w:t>27,2</w:t>
            </w:r>
          </w:p>
        </w:tc>
      </w:tr>
      <w:tr w:rsidR="00A209E1" w:rsidTr="00A209E1">
        <w:trPr>
          <w:trHeight w:val="105"/>
          <w:tblCellSpacing w:w="0" w:type="dxa"/>
        </w:trPr>
        <w:tc>
          <w:tcPr>
            <w:tcW w:w="750" w:type="dxa"/>
            <w:vAlign w:val="center"/>
            <w:hideMark/>
          </w:tcPr>
          <w:p w:rsidR="00A209E1" w:rsidRDefault="00A209E1">
            <w:pPr>
              <w:pStyle w:val="NormalWeb"/>
              <w:spacing w:line="105" w:lineRule="atLeast"/>
            </w:pPr>
            <w:r>
              <w:t>8473</w:t>
            </w:r>
          </w:p>
        </w:tc>
        <w:tc>
          <w:tcPr>
            <w:tcW w:w="5415" w:type="dxa"/>
            <w:vAlign w:val="center"/>
            <w:hideMark/>
          </w:tcPr>
          <w:p w:rsidR="00A209E1" w:rsidRDefault="00A209E1">
            <w:pPr>
              <w:pStyle w:val="NormalWeb"/>
              <w:spacing w:line="105" w:lineRule="atLeast"/>
            </w:pPr>
            <w:r>
              <w:t>84.69 ila 84.72 pozisyonlarındaki makina ve cihazlarda kullanılmaya elverişli aksam-parça-aksesuarla</w:t>
            </w:r>
          </w:p>
        </w:tc>
        <w:tc>
          <w:tcPr>
            <w:tcW w:w="1005" w:type="dxa"/>
            <w:noWrap/>
            <w:vAlign w:val="center"/>
            <w:hideMark/>
          </w:tcPr>
          <w:p w:rsidR="00A209E1" w:rsidRDefault="00A209E1">
            <w:pPr>
              <w:pStyle w:val="NormalWeb"/>
              <w:spacing w:line="105" w:lineRule="atLeast"/>
              <w:jc w:val="center"/>
            </w:pPr>
            <w:r>
              <w:t>28,0</w:t>
            </w:r>
          </w:p>
        </w:tc>
        <w:tc>
          <w:tcPr>
            <w:tcW w:w="1095" w:type="dxa"/>
            <w:noWrap/>
            <w:vAlign w:val="center"/>
            <w:hideMark/>
          </w:tcPr>
          <w:p w:rsidR="00A209E1" w:rsidRDefault="00A209E1">
            <w:pPr>
              <w:pStyle w:val="NormalWeb"/>
              <w:spacing w:line="105" w:lineRule="atLeast"/>
              <w:jc w:val="center"/>
            </w:pPr>
            <w:r>
              <w:t>33,0</w:t>
            </w:r>
          </w:p>
        </w:tc>
        <w:tc>
          <w:tcPr>
            <w:tcW w:w="1005" w:type="dxa"/>
            <w:noWrap/>
            <w:vAlign w:val="center"/>
            <w:hideMark/>
          </w:tcPr>
          <w:p w:rsidR="00A209E1" w:rsidRDefault="00A209E1">
            <w:pPr>
              <w:pStyle w:val="NormalWeb"/>
              <w:spacing w:line="105" w:lineRule="atLeast"/>
              <w:jc w:val="center"/>
            </w:pPr>
            <w:r>
              <w:t>27,1</w:t>
            </w:r>
          </w:p>
        </w:tc>
      </w:tr>
    </w:tbl>
    <w:p w:rsidR="00A209E1" w:rsidRDefault="00A209E1" w:rsidP="00A209E1">
      <w:pPr>
        <w:pStyle w:val="NormalWeb"/>
      </w:pPr>
      <w:r>
        <w:rPr>
          <w:rStyle w:val="Gl"/>
        </w:rPr>
        <w:t>Kaynak:</w:t>
      </w:r>
      <w:r>
        <w:t xml:space="preserve"> TUİK</w:t>
      </w:r>
    </w:p>
    <w:p w:rsidR="00A209E1" w:rsidRDefault="00A209E1" w:rsidP="00A209E1">
      <w:pPr>
        <w:pStyle w:val="NormalWeb"/>
        <w:jc w:val="both"/>
      </w:pPr>
      <w:r>
        <w:t>Tayvan 2002 yılı başında Dünya Ticaret Örgütü'ne girmiştir.  İthalatı yasak olmayan ürünlerde gümrük vergilerinin düşürülmesi yoluna gidilmiştir. Tarım ürünlerinde daha önce ortalama %20 düzeyinde olan gümrük vergisi, DTÖ’ye girdikten hemen sonra ortalama %12,86 olarak düzenlenmiştir. Sanayi ürünlerinde ise ortalama %6 olan gümrük vergisi DTÖ’ye girdikten hemen sonra %4,15’e gerilemiştir. Ayrıca, DTÖ'ye girdiğinde Tayvan ithali yasak olan tavuk eti, süt, yer fıstığı, küçük kırmızı fasulye, tavuk sakatatı, sarımsak soğanı, bazı meyve ve sebzeler, pirinç ve pirinç ürünleri gibi ürünler için tarife oranları ve kotalarını belirlemiştir. Bu tür ürünler için Tayvan’ın iyi bir pazar olabileceği düşünülmektedir. Belli standartları taşıyan ürünlerin Tayvan pazarında tutunabilme olasılığı yüksektir.</w:t>
      </w:r>
    </w:p>
    <w:p w:rsidR="00A209E1" w:rsidRDefault="00A209E1" w:rsidP="00A209E1">
      <w:pPr>
        <w:pStyle w:val="NormalWeb"/>
        <w:jc w:val="both"/>
      </w:pPr>
      <w:r>
        <w:t>İki ülke arasındaki mesafenin fazlalığı, ticaretin gelişmesi önünde bir engel teşkil etmiş ve Türkiye ABD, Avrupa ve Orta Asya pazarlarına, Tayvan ise ABD, Çin ve Güney Asya pazarlarına yönelmiştir. Türkiye'nin bu ülke ile ticaretini geliştirmek için, ülke pazarına markalı ürünler ile girmesi ve bu ülkeye yapılan ihracatını çeşitlendirmesi gerekmektedir.</w:t>
      </w:r>
    </w:p>
    <w:p w:rsidR="00A209E1" w:rsidRDefault="00A209E1" w:rsidP="00A209E1">
      <w:pPr>
        <w:pStyle w:val="NormalWeb"/>
        <w:jc w:val="both"/>
      </w:pPr>
      <w:r>
        <w:t>Türkiye ile Tayvan arasındaki ticari ve ekonomik ilişkilerin artırılması yönündeki çalışmaların genellikle Tayvan tarafından yapıldığı görülmektedir. Gerek kamu gerek özel sektör görevlilerinden oluşan Tayvan ticari heyetleri Türkiye’yi sık sık ziyaret etmektedirler. Bu ziyaretlerin temel konusunu Tayvan’dan Türkiye’ye yapılacak potansiyel elektronik ve enerji yatırımları oluşturmaktadır.</w:t>
      </w:r>
    </w:p>
    <w:p w:rsidR="00A209E1" w:rsidRDefault="00A209E1" w:rsidP="00A209E1">
      <w:pPr>
        <w:pStyle w:val="NormalWeb"/>
      </w:pPr>
      <w:r>
        <w:rPr>
          <w:rStyle w:val="Vurgu"/>
          <w:b/>
          <w:bCs/>
        </w:rPr>
        <w:t xml:space="preserve">Karşılıklı Yatırımlar </w:t>
      </w:r>
    </w:p>
    <w:p w:rsidR="00A209E1" w:rsidRPr="00A209E1" w:rsidRDefault="00A209E1" w:rsidP="00A209E1">
      <w:pPr>
        <w:pStyle w:val="NormalWeb"/>
        <w:jc w:val="both"/>
      </w:pPr>
      <w:r w:rsidRPr="00A209E1">
        <w:rPr>
          <w:rStyle w:val="Gl"/>
        </w:rPr>
        <w:t>Tayvan ile Türkiye arasındaki karşılıklı yatırım yok denecek kadar azdır.</w:t>
      </w:r>
      <w:r w:rsidRPr="00A209E1">
        <w:t xml:space="preserve"> Türkiye'de toplam 18 Tayvan kökenli firma yatırım yapmış durumdadır. Tayvan'da ise kayıtlı herhangi bir Türk yatırımı yoktur. Sadece firmaların bu ülkeden yaptıkları ithalatın yönlendirildiği temsilcilik ofisleri bulunmaktadır.</w:t>
      </w:r>
    </w:p>
    <w:p w:rsidR="00A209E1" w:rsidRDefault="00A209E1" w:rsidP="00A209E1">
      <w:pPr>
        <w:pStyle w:val="NormalWeb"/>
      </w:pPr>
      <w:r>
        <w:rPr>
          <w:rStyle w:val="Vurgu"/>
          <w:b/>
          <w:bCs/>
        </w:rPr>
        <w:t>İki Ülke Arasındaki Anlaşma ve Protokoller</w:t>
      </w:r>
    </w:p>
    <w:p w:rsidR="00A209E1" w:rsidRDefault="00A209E1" w:rsidP="00A209E1">
      <w:pPr>
        <w:pStyle w:val="NormalWeb"/>
        <w:jc w:val="both"/>
      </w:pPr>
      <w:r>
        <w:t xml:space="preserve">Türkiye Cumhuriyeti, Çin Halk Cumhuriyetini, Çin'in tek temsilcisi olarak tanımaktadır. Bu nedenle Türkiye ile Tayvan arasında herhangi bir diplomatik ilişki olmadığından Tayvan ile Türkiye arasında bir anlaşma veya protokol de bulunmamaktadır. Bu nedenle iki ülke arasındaki ticari ve ekonomik </w:t>
      </w:r>
      <w:r w:rsidR="00D2309C">
        <w:t>ilişkiler</w:t>
      </w:r>
      <w:r>
        <w:t xml:space="preserve"> devlet </w:t>
      </w:r>
      <w:r w:rsidR="00D2309C">
        <w:t>desteği</w:t>
      </w:r>
      <w:r>
        <w:t xml:space="preserve"> olmadan </w:t>
      </w:r>
      <w:r w:rsidR="00D2309C">
        <w:t>doğal</w:t>
      </w:r>
      <w:r>
        <w:t xml:space="preserve"> seyrinde sürdürülmektedir. Bununla birlikte, iki ülke arasında resmi bir ilişki olmaması, ticari, ekonomik ve kültürel ilişkilere girmeye engel teşkil etmemiştir. İki ülke özel sektör kuruluşları arasındaki ticari, ekonomik ve kültürel ilişkilerin geliştirilmesi amacıyla, Ankara'da bir "</w:t>
      </w:r>
      <w:proofErr w:type="spellStart"/>
      <w:r>
        <w:t>Taipei</w:t>
      </w:r>
      <w:proofErr w:type="spellEnd"/>
      <w:r>
        <w:t xml:space="preserve"> Kültür Ofisi" ve </w:t>
      </w:r>
      <w:proofErr w:type="spellStart"/>
      <w:r>
        <w:t>Taipei'de</w:t>
      </w:r>
      <w:proofErr w:type="spellEnd"/>
      <w:r>
        <w:t xml:space="preserve"> bir "Türk Ticaret Ofisi" faaliyet </w:t>
      </w:r>
      <w:r>
        <w:lastRenderedPageBreak/>
        <w:t>göstermektedir. Bu ofisin amacı, iki ülke arasındaki ticari ve ekonomik ilişkilerin geliştirilmesinin yanı sıra, Tayvan'ın döviz fonlarının Türkiye'de ortak yatırımlara dönüştürülmesine yardımcı olmaktır.</w:t>
      </w:r>
    </w:p>
    <w:p w:rsidR="00A209E1" w:rsidRDefault="00A209E1" w:rsidP="00A209E1">
      <w:pPr>
        <w:pStyle w:val="NormalWeb"/>
      </w:pPr>
      <w:r>
        <w:rPr>
          <w:rStyle w:val="Vurgu"/>
          <w:b/>
          <w:bCs/>
        </w:rPr>
        <w:t>İşbirliği Olanakları ve Fırsatlar</w:t>
      </w:r>
    </w:p>
    <w:p w:rsidR="00A209E1" w:rsidRDefault="00A209E1" w:rsidP="00A209E1">
      <w:pPr>
        <w:pStyle w:val="NormalWeb"/>
        <w:jc w:val="both"/>
      </w:pPr>
      <w:r>
        <w:t>90’lı yıllardan bu yana, düşük maliyetlerden dolayı Tayvan’ın Çin’e olan yatırımları artmıştır. Türkiye ile de bu kapsamda ilgilenilmiş ancak geçen zaman içinde iki ülke arasında resmi ilişki kurma zorlukları, bunun neticesinde yatırımların karşılıklı teşviki ve korunması gibi girişimleri teminat altına alan anlaşmaların imzalanamaması gibi nedenlerden ötürü Tayvan’ın Türkiye’deki yatırımları istenen düzeyde gerçekleşmemiştir. Bu nedenle ikili ilişkilerin en önemi gündem maddesini Tayvan yatırımlarının Türkiye’ye çekilmesi oluşturmalıdır.</w:t>
      </w:r>
    </w:p>
    <w:p w:rsidR="00A209E1" w:rsidRDefault="00A209E1" w:rsidP="00A209E1">
      <w:pPr>
        <w:pStyle w:val="NormalWeb"/>
        <w:jc w:val="both"/>
      </w:pPr>
      <w:r>
        <w:t>Bunun yanı sıra, turizm iki ülke arasında potansiyel vaat eden sektörlerden biridir. Tayvan yurtdışına yılda yaklaşık 8 milyon turist göndermektedir. Yurtdışına çıkışta turist basına ortalama harcama miktarı açısından üst sıralarda bulunan Tayvanlı turistlerin harcama potansiyellerinin yaklaşık 25 milyar dolar olduğu tahmin edilmektedir.</w:t>
      </w:r>
    </w:p>
    <w:p w:rsidR="00A209E1" w:rsidRDefault="00A209E1" w:rsidP="00A209E1">
      <w:pPr>
        <w:pStyle w:val="NormalWeb"/>
        <w:jc w:val="both"/>
      </w:pPr>
      <w:r>
        <w:t xml:space="preserve">2014 yılında Tayvan’da kişi başına düşen milli gelir satın alma gücü </w:t>
      </w:r>
      <w:proofErr w:type="gramStart"/>
      <w:r>
        <w:t>paritesine</w:t>
      </w:r>
      <w:proofErr w:type="gramEnd"/>
      <w:r>
        <w:t xml:space="preserve"> göre 45.853 ABD $ olmuştur. Halkın zenginleşmesi ve refah artışı nedeniyle iç talepte de büyük artışlar olmuştur. Neticede ülke tüketim malı ihracatında cazip bir pazar haline gelmiştir. Bu kapsamda Türkiye’den Tayvan’a gıda ürünleri ihracatı fırsatlar sunmakta ve incelenmesi gereken bir potansiyel oluşturmaktadır. Tayvan’da giderek yaşlanan nüfus beraberinde sağlık kaygılarını ön plana çıkarmıştır. Bu yüzden insanlar yaşları ilerledikçe beslenmelerinde düşük kalorili ve az yağlı gıdaları tercih etmeye başlamışlardır. 2013 yılı itibariyle 65 yaş üstü insanların tüm nüfusa oranı % 11 olurken, 2026 yılında da bu oranın % 20,6’ya yükseleceği düşünüldüğünde bu talebin gelecekte de artacağı beklenmektedir. Düşük kalorili ürünlerde öne çıkan ve en çok tercih edilen ürünler az yağlı süt ve süt ürünleri, şekersiz sakızlar, paketlenmiş az yağlı gıdalar ve düşük meyve/sebze oranı içeren karışık meyve/sebze sularıdır. % 100 meyve nektarı içeren meyve suları Tayvan halkının damak tadına uymadığı için, diğerlerinden daha sağlıklı olmalarına, rağmen talep görmemektedirler. Ayrıca Türkiye’den Tayvan’a inşaat malzemeleri ihracatı da incelenmesi gereken bir potansiyel oluşturmaktadır.</w:t>
      </w:r>
    </w:p>
    <w:p w:rsidR="00A209E1" w:rsidRDefault="00A209E1" w:rsidP="00A209E1">
      <w:pPr>
        <w:pStyle w:val="NormalWeb"/>
        <w:jc w:val="both"/>
      </w:pPr>
      <w:r>
        <w:rPr>
          <w:rStyle w:val="Vurgu"/>
          <w:b/>
          <w:bCs/>
        </w:rPr>
        <w:t>Türk Ticaret Ofisi Tarafından Saptanan Potansiyel Ürünler:</w:t>
      </w:r>
    </w:p>
    <w:p w:rsidR="00A209E1" w:rsidRDefault="00A209E1" w:rsidP="00A209E1">
      <w:pPr>
        <w:pStyle w:val="NormalWeb"/>
        <w:jc w:val="both"/>
      </w:pPr>
      <w:r>
        <w:t xml:space="preserve">Ülkede Türk Ticaret Ofisi tarafından yapılan araştırmalar sonucunda, kiraz, kayısı, üzüm, incir, portakal, limon, </w:t>
      </w:r>
      <w:r w:rsidR="00D2309C">
        <w:t>Ayçiçek</w:t>
      </w:r>
      <w:r>
        <w:t xml:space="preserve"> ve zeytin yağı, fındık, ceviz, deniz ürünleri, meyve suları ve taze sebze gibi çeşitli tarım ürünleri, sıhhi tesisat, kristal, cam, seramik, hediyelik eşya, markalı tekstil ürünleri, deri, </w:t>
      </w:r>
      <w:proofErr w:type="gramStart"/>
      <w:r>
        <w:t>konfeksiyon</w:t>
      </w:r>
      <w:proofErr w:type="gramEnd"/>
      <w:r>
        <w:t>, kimyasal maddeler, bulaşık makinesi, oto yedek parçası ve aksesuarları, halı ve şarap gibi çeşitli sanayi ürünleri ile orman ürünlerinde ihracat potansiyeli tespit edilmiştir.</w:t>
      </w:r>
    </w:p>
    <w:p w:rsidR="00A209E1" w:rsidRPr="00A209E1" w:rsidRDefault="00A209E1" w:rsidP="00A209E1">
      <w:pPr>
        <w:pStyle w:val="Balk2"/>
        <w:rPr>
          <w:sz w:val="24"/>
          <w:szCs w:val="24"/>
        </w:rPr>
      </w:pPr>
      <w:r w:rsidRPr="00A209E1">
        <w:rPr>
          <w:sz w:val="24"/>
          <w:szCs w:val="24"/>
        </w:rPr>
        <w:t>Pazar ile İlgili Bilgiler</w:t>
      </w:r>
    </w:p>
    <w:p w:rsidR="00A209E1" w:rsidRPr="00A209E1" w:rsidRDefault="00A209E1" w:rsidP="00A209E1">
      <w:pPr>
        <w:pStyle w:val="Balk4"/>
      </w:pPr>
      <w:r w:rsidRPr="00A209E1">
        <w:t>Fikri, Sınai Mülkiyet Hakları</w:t>
      </w:r>
    </w:p>
    <w:p w:rsidR="00A209E1" w:rsidRDefault="00A209E1" w:rsidP="00A209E1">
      <w:pPr>
        <w:pStyle w:val="content-text"/>
        <w:jc w:val="both"/>
      </w:pPr>
      <w:r>
        <w:t xml:space="preserve">Tayvan'ın, geçtiğimiz yıllarda fikri ve sınai mülkiyet haklarını korumak ve bu hakların ihlali halinde çeşitli yaptırımlar uygulamak üzere atmış olduğu adımlar önemlidir. 1992 yılından bu yana, telif hakkı, patent ve marka kanunları yenilenmiştir. Ancak Tayvan, Bern veya Paris Konvansiyonu gibi herhangi </w:t>
      </w:r>
      <w:proofErr w:type="gramStart"/>
      <w:r>
        <w:t>bir çok</w:t>
      </w:r>
      <w:proofErr w:type="gramEnd"/>
      <w:r>
        <w:t xml:space="preserve"> taraflı fikri mülkiyet konvansiyonuna üye değildir. </w:t>
      </w:r>
      <w:r>
        <w:lastRenderedPageBreak/>
        <w:t>Tayvan'ın DTÖ'ye giriş anlaşması DTÖ'nün Fikri Mülkiyet Haklarının Ticari Görünümü Anlaşması'na uymaktadır. Bilgisayar yazılımı için koruma süresi edebi eserlere sağlanan süreye eşitlenmiştir. Ocak 1994'ten önce yayımlanan ve hala yürürlükte olan patentler şimdi, buluş patentlerinde kayda girişten itibaren 20 yıl, yeni tasarım patentlerinde kayda girişten itibaren 12 yıl koruma altındadır. Resmi görevliler taklitçiliğe karşı savaşın güçlendiğini ve sınır güvenliğinin artırıldığını belirtmektedir.</w:t>
      </w:r>
    </w:p>
    <w:p w:rsidR="00A209E1" w:rsidRDefault="00A209E1" w:rsidP="00A209E1">
      <w:pPr>
        <w:pStyle w:val="Balk4"/>
      </w:pPr>
      <w:r>
        <w:t>Dağıtım Kanalları</w:t>
      </w:r>
    </w:p>
    <w:p w:rsidR="00A209E1" w:rsidRDefault="00A209E1" w:rsidP="00A209E1">
      <w:pPr>
        <w:pStyle w:val="content-text"/>
        <w:jc w:val="both"/>
      </w:pPr>
      <w:r>
        <w:t xml:space="preserve">Çoğu yabancı firma Tayvan pazarına </w:t>
      </w:r>
      <w:r w:rsidR="00D2309C">
        <w:t>acenteler</w:t>
      </w:r>
      <w:r>
        <w:t xml:space="preserve"> aracılığıyla girmektedir. Tayvan'da bir </w:t>
      </w:r>
      <w:r w:rsidR="00D2309C">
        <w:t>acente</w:t>
      </w:r>
      <w:r>
        <w:t xml:space="preserve"> ya da dağıtımcı bulmak için çeşitli yollar vardır. </w:t>
      </w:r>
      <w:proofErr w:type="spellStart"/>
      <w:r>
        <w:t>Taipei</w:t>
      </w:r>
      <w:proofErr w:type="spellEnd"/>
      <w:r>
        <w:t xml:space="preserve"> İthalatçı ve İhracatçılar Birliği yaklaşık 10000 üyeye sahiptir ve yabancı ihracatçılara üyeleri arasından </w:t>
      </w:r>
      <w:proofErr w:type="spellStart"/>
      <w:r>
        <w:t>acenta</w:t>
      </w:r>
      <w:proofErr w:type="spellEnd"/>
      <w:r>
        <w:t xml:space="preserve"> bulmak için yeterli olanakları vardır. Ayrıca birçok Sanayi Birliği üyelerinin listesini yayınlarlar. TAITRA (Tayvan Dış Ticaret Kurumu) da Tayvan firmaları hakkında sağlıklı bilgiler verebilir. İstanbul'da da </w:t>
      </w:r>
      <w:proofErr w:type="spellStart"/>
      <w:r>
        <w:t>TAITRA'nın</w:t>
      </w:r>
      <w:proofErr w:type="spellEnd"/>
      <w:r>
        <w:t xml:space="preserve"> bir ofisi vardır.</w:t>
      </w:r>
    </w:p>
    <w:p w:rsidR="00A209E1" w:rsidRDefault="00A209E1" w:rsidP="00A209E1">
      <w:pPr>
        <w:pStyle w:val="content-text"/>
      </w:pPr>
      <w:r>
        <w:t>TAITRA (Tayvan Dış Ticareti Geliştirme Konseyi)</w:t>
      </w:r>
      <w:r>
        <w:br/>
      </w:r>
      <w:proofErr w:type="spellStart"/>
      <w:r>
        <w:t>Taiwan</w:t>
      </w:r>
      <w:proofErr w:type="spellEnd"/>
      <w:r>
        <w:t xml:space="preserve"> </w:t>
      </w:r>
      <w:proofErr w:type="spellStart"/>
      <w:r>
        <w:t>External</w:t>
      </w:r>
      <w:proofErr w:type="spellEnd"/>
      <w:r>
        <w:t xml:space="preserve"> </w:t>
      </w:r>
      <w:proofErr w:type="spellStart"/>
      <w:r>
        <w:t>Trade</w:t>
      </w:r>
      <w:proofErr w:type="spellEnd"/>
      <w:r>
        <w:t xml:space="preserve"> Development </w:t>
      </w:r>
      <w:proofErr w:type="spellStart"/>
      <w:r>
        <w:t>Council</w:t>
      </w:r>
      <w:proofErr w:type="spellEnd"/>
      <w:r>
        <w:br/>
        <w:t xml:space="preserve">3-8F, 333 </w:t>
      </w:r>
      <w:proofErr w:type="spellStart"/>
      <w:r>
        <w:t>Keelung</w:t>
      </w:r>
      <w:proofErr w:type="spellEnd"/>
      <w:r>
        <w:t xml:space="preserve"> Road, </w:t>
      </w:r>
      <w:proofErr w:type="spellStart"/>
      <w:r>
        <w:t>Sec</w:t>
      </w:r>
      <w:proofErr w:type="spellEnd"/>
      <w:r>
        <w:t xml:space="preserve">. 1, </w:t>
      </w:r>
      <w:proofErr w:type="spellStart"/>
      <w:r>
        <w:t>Taipei</w:t>
      </w:r>
      <w:proofErr w:type="spellEnd"/>
      <w:r>
        <w:t>, ROC</w:t>
      </w:r>
      <w:r>
        <w:br/>
        <w:t>Tel: 886-2-</w:t>
      </w:r>
      <w:proofErr w:type="gramStart"/>
      <w:r>
        <w:t xml:space="preserve">27255200 , </w:t>
      </w:r>
      <w:proofErr w:type="spellStart"/>
      <w:r>
        <w:t>Fax</w:t>
      </w:r>
      <w:proofErr w:type="spellEnd"/>
      <w:proofErr w:type="gramEnd"/>
      <w:r>
        <w:t>: 886-2-27576653</w:t>
      </w:r>
      <w:r>
        <w:br/>
        <w:t>Website:www.taitra.org.tw</w:t>
      </w:r>
      <w:r>
        <w:br/>
        <w:t> </w:t>
      </w:r>
    </w:p>
    <w:p w:rsidR="00A209E1" w:rsidRDefault="00A209E1" w:rsidP="00A209E1">
      <w:pPr>
        <w:pStyle w:val="content-text"/>
      </w:pPr>
      <w:r>
        <w:t>TAITRA İstanbul Ofisi</w:t>
      </w:r>
      <w:r>
        <w:br/>
      </w:r>
      <w:proofErr w:type="spellStart"/>
      <w:r>
        <w:t>Taiwan</w:t>
      </w:r>
      <w:proofErr w:type="spellEnd"/>
      <w:r>
        <w:t xml:space="preserve"> </w:t>
      </w:r>
      <w:proofErr w:type="spellStart"/>
      <w:r>
        <w:t>Trade</w:t>
      </w:r>
      <w:proofErr w:type="spellEnd"/>
      <w:r>
        <w:t xml:space="preserve"> Center </w:t>
      </w:r>
      <w:r>
        <w:br/>
        <w:t>Eski Büyükdere Caddesi, Ayazağa Yolu, GIZ 2000 Plaza, K:8 Maslak/İstanbul</w:t>
      </w:r>
      <w:r>
        <w:br/>
        <w:t>Tel: 212-290 60 42-</w:t>
      </w:r>
      <w:proofErr w:type="gramStart"/>
      <w:r>
        <w:t xml:space="preserve">43 , </w:t>
      </w:r>
      <w:proofErr w:type="spellStart"/>
      <w:r>
        <w:t>Fax</w:t>
      </w:r>
      <w:proofErr w:type="spellEnd"/>
      <w:proofErr w:type="gramEnd"/>
      <w:r>
        <w:t>: 212-290 60 44</w:t>
      </w:r>
      <w:r>
        <w:br/>
        <w:t>E-Mail: istanbul@taitra.org.tw</w:t>
      </w:r>
      <w:r>
        <w:br/>
        <w:t> </w:t>
      </w:r>
    </w:p>
    <w:p w:rsidR="00A209E1" w:rsidRDefault="00A209E1" w:rsidP="00A209E1">
      <w:pPr>
        <w:pStyle w:val="content-text"/>
        <w:jc w:val="both"/>
      </w:pPr>
      <w:r>
        <w:t xml:space="preserve">Ürün markası fiyat politikası belirlemede önemli bir faktördür. Genellikle uluslararası markaların dağıtım düzeyindeki fiyat </w:t>
      </w:r>
      <w:proofErr w:type="gramStart"/>
      <w:r>
        <w:t>marjları</w:t>
      </w:r>
      <w:proofErr w:type="gramEnd"/>
      <w:r>
        <w:t xml:space="preserve"> yerel ya da bölgesel markalara göre daha düşüktür. Dağıtımcı fiyat </w:t>
      </w:r>
      <w:proofErr w:type="gramStart"/>
      <w:r>
        <w:t>marjı</w:t>
      </w:r>
      <w:proofErr w:type="gramEnd"/>
      <w:r>
        <w:t xml:space="preserve">, kimin pazar fazlası sorumluluğunu üstleneceğine göre, ortalama %10 ile %30 arasında değişmektedir. Bunun yanında büyük miktarda alışlarda fiyat kırmalar ve </w:t>
      </w:r>
      <w:proofErr w:type="gramStart"/>
      <w:r w:rsidR="00D2309C">
        <w:t>ıskontolar</w:t>
      </w:r>
      <w:proofErr w:type="gramEnd"/>
      <w:r>
        <w:t xml:space="preserve"> sıklıkla görülür.</w:t>
      </w:r>
    </w:p>
    <w:p w:rsidR="00A209E1" w:rsidRDefault="00A209E1" w:rsidP="00A209E1">
      <w:pPr>
        <w:pStyle w:val="content-text"/>
        <w:jc w:val="both"/>
      </w:pPr>
      <w:r>
        <w:t>Tayvan'ın tüketim malları piyasasında en yaygın görülen dağıtım biçimi, malların satıcılardan dağıtımcı ve perakendecilere, oradan da tüketicilere ulaştırılmasıdır. Yabancı firmalar, özellikle de küçük ve orta ölçekli şirketler, mallarını bu dağıtımcılara satmak için, genellikle aracılardan faydalanırlar. Bununla birlikte, giyim eşyası gibi bazı tüketim mallarında, dağıtım kanalları daha karmaşıktır.</w:t>
      </w:r>
    </w:p>
    <w:p w:rsidR="00A209E1" w:rsidRDefault="00A209E1" w:rsidP="00A209E1">
      <w:pPr>
        <w:pStyle w:val="content-text"/>
        <w:jc w:val="both"/>
      </w:pPr>
      <w:r>
        <w:t>Perakende dağıtım kanalları içinde, büyük mağazalar, hipermarketler, halk satış mağazaları ve süpermarketler gibi modern perakende mağaza türleri gittikçe artan bir önem kazanırken diğer geleneksel perakende satış mağazaları, tüketici kalıpları değiştikçe önemini yitirmeye başlamıştır.</w:t>
      </w:r>
    </w:p>
    <w:p w:rsidR="00A209E1" w:rsidRDefault="00A209E1" w:rsidP="00A209E1">
      <w:pPr>
        <w:pStyle w:val="content-text"/>
        <w:jc w:val="both"/>
      </w:pPr>
      <w:r>
        <w:t xml:space="preserve">Geçmiş yıllarda, yeni </w:t>
      </w:r>
      <w:proofErr w:type="spellStart"/>
      <w:r>
        <w:t>outletlerin</w:t>
      </w:r>
      <w:proofErr w:type="spellEnd"/>
      <w:r>
        <w:t xml:space="preserve"> açılmasıyla, modern perakende satış zincirleri hızla genişlemiştir. Halk satış merkezleri ve hipermarketler, modern yöntemlere öncülük etmiş ve perakende arz kanalları üzerinde artan etkiye sahip olmuşlardır. Piyasa liderlerinin her bir </w:t>
      </w:r>
      <w:r>
        <w:lastRenderedPageBreak/>
        <w:t>perakende satış kanalına girmesi ile satışlar yoğunlaşacak, bu durum da, pazarlık gücünü yükseltecek ve piyasaya yeni ürün girişini artıracaktır.</w:t>
      </w:r>
    </w:p>
    <w:p w:rsidR="00A209E1" w:rsidRDefault="00A209E1" w:rsidP="00A209E1">
      <w:pPr>
        <w:pStyle w:val="content-text"/>
        <w:jc w:val="both"/>
      </w:pPr>
      <w:r>
        <w:t>Tayvan'ın perakende satış kurumları, geleneksel ve modern perakendeciler olmak üzere genellikle iki ana kategoridedir. Modern perakende satış kanalları, esas olarak büyük mağazalar, hipermarketler, halk satış mağazaları ve süpermarketlerden oluşurken, geleneksel perakende satış kanalları, sadece askeri görevlilere ve hükümet çalışanlarına satış yapan "</w:t>
      </w:r>
      <w:proofErr w:type="spellStart"/>
      <w:r>
        <w:t>mom</w:t>
      </w:r>
      <w:proofErr w:type="spellEnd"/>
      <w:r>
        <w:t>-</w:t>
      </w:r>
      <w:proofErr w:type="spellStart"/>
      <w:r>
        <w:t>and</w:t>
      </w:r>
      <w:proofErr w:type="spellEnd"/>
      <w:r>
        <w:t xml:space="preserve">-pop </w:t>
      </w:r>
      <w:proofErr w:type="spellStart"/>
      <w:r>
        <w:t>stores</w:t>
      </w:r>
      <w:proofErr w:type="spellEnd"/>
      <w:r>
        <w:t>" ve "</w:t>
      </w:r>
      <w:proofErr w:type="spellStart"/>
      <w:r>
        <w:t>PX's</w:t>
      </w:r>
      <w:proofErr w:type="spellEnd"/>
      <w:r>
        <w:t xml:space="preserve">" denilen mağazaları içerir. Ülke ithalatçıları ve </w:t>
      </w:r>
      <w:proofErr w:type="gramStart"/>
      <w:r>
        <w:t>distribütörleri</w:t>
      </w:r>
      <w:proofErr w:type="gramEnd"/>
      <w:r>
        <w:t>, gıda/sebze ürünleri, giyecekler, mobilya, ev eşyaları, elektrikli aletler, kırtasiye ve oyuncak gibi yabancı tüketim mallarının dağıtımı için, modern perakende mağazalarını geniş bir biçimde kullanırlar.</w:t>
      </w:r>
      <w:r>
        <w:br/>
        <w:t> </w:t>
      </w:r>
    </w:p>
    <w:p w:rsidR="00A209E1" w:rsidRDefault="00A209E1" w:rsidP="00A209E1">
      <w:pPr>
        <w:pStyle w:val="Balk4"/>
      </w:pPr>
      <w:r>
        <w:t>Tüketici Tercihleri</w:t>
      </w:r>
    </w:p>
    <w:p w:rsidR="00A209E1" w:rsidRDefault="00A209E1" w:rsidP="00A209E1">
      <w:pPr>
        <w:pStyle w:val="content-text"/>
        <w:jc w:val="both"/>
      </w:pPr>
      <w:r>
        <w:t>Tayvan tüketicileri, kaliteli ürüne makul fiyat ödemekten yanadır. Yüksek gelir düzeyine sahip tüketiciler, lüks malları satın alabilme gücüne sahip olmakla beraber, ürünün fiyatından daha çok dünyaca tanınmış markalardan biri olmasına özen göstermektedir. Ürün uluslararası bir markaya sahip değilse, kaliteli olmasına rağmen talep edilmeyebilir. Reklam da pazarlama açısından önemli bir unsurdur. Bu bakımdan Tayvan piyasasında, diğer Güney Asya pazarlarında olduğu gibi, reklam tüketici eğilimlerini belirleyebilmektedir.</w:t>
      </w:r>
    </w:p>
    <w:p w:rsidR="00A209E1" w:rsidRDefault="00A209E1" w:rsidP="00A209E1">
      <w:pPr>
        <w:pStyle w:val="Balk4"/>
      </w:pPr>
      <w:r>
        <w:t>Reklam ve Promosyon</w:t>
      </w:r>
    </w:p>
    <w:p w:rsidR="00A209E1" w:rsidRDefault="00A209E1" w:rsidP="00A209E1">
      <w:pPr>
        <w:pStyle w:val="content-text"/>
        <w:jc w:val="both"/>
      </w:pPr>
      <w:r>
        <w:t>Adaya ihracat yapmayı düşünen yabancı şirketler, Tayvan'daki çok sayıda pazar araştırma kuruluşlarından yararlanabilirler. Bir kısmı yabancı şirketlerin şubesi olan bu kuruluşlar, ürün, tüketici ve kredi konularında her tür araştırmayı yapmaktadır. Çok gelişmiş teknolojiler kullanan bu şirketler, pazarlama olanakları geliştirme ve ortaya çıkabilecek sorunlara çözüm bulma konularında uzmanlaşmıştır.</w:t>
      </w:r>
    </w:p>
    <w:p w:rsidR="00A209E1" w:rsidRDefault="00A209E1" w:rsidP="00A209E1">
      <w:pPr>
        <w:pStyle w:val="content-text"/>
        <w:jc w:val="both"/>
      </w:pPr>
      <w:r>
        <w:t xml:space="preserve">Ülkeye ihracat yapan ve reklam ve benzeri konularda yardıma ihtiyacı olan yabancı şirketlerin, adada bulunan çok sayıdaki yerli veya uluslararası reklam </w:t>
      </w:r>
      <w:proofErr w:type="spellStart"/>
      <w:r>
        <w:t>acentalarına</w:t>
      </w:r>
      <w:proofErr w:type="spellEnd"/>
      <w:r>
        <w:t xml:space="preserve"> başvurabilmeleri mümkündür. Ürün ve tüketici araştırması, medya ayarlamaları ve reklam kampanyaları da </w:t>
      </w:r>
      <w:proofErr w:type="gramStart"/>
      <w:r>
        <w:t>dahil</w:t>
      </w:r>
      <w:proofErr w:type="gramEnd"/>
      <w:r>
        <w:t xml:space="preserve"> olmak üzere çok çeşitli hizmetler sunan bu </w:t>
      </w:r>
      <w:proofErr w:type="spellStart"/>
      <w:r>
        <w:t>acentaların</w:t>
      </w:r>
      <w:proofErr w:type="spellEnd"/>
      <w:r>
        <w:t xml:space="preserve"> pek çoğu, ABD ve Japon </w:t>
      </w:r>
      <w:proofErr w:type="spellStart"/>
      <w:r>
        <w:t>acentaları</w:t>
      </w:r>
      <w:proofErr w:type="spellEnd"/>
      <w:r>
        <w:t xml:space="preserve"> ile işbirliği içinde bulunmaktadır.</w:t>
      </w:r>
      <w:r>
        <w:br/>
        <w:t> </w:t>
      </w:r>
    </w:p>
    <w:p w:rsidR="00A209E1" w:rsidRDefault="00A209E1" w:rsidP="00A209E1">
      <w:pPr>
        <w:pStyle w:val="Balk4"/>
      </w:pPr>
      <w:r>
        <w:t>Satış Teknikleri ve Satışı Etkileyen Faktörler</w:t>
      </w:r>
    </w:p>
    <w:p w:rsidR="00A209E1" w:rsidRDefault="00A209E1" w:rsidP="00A209E1">
      <w:pPr>
        <w:pStyle w:val="content-text"/>
      </w:pPr>
      <w:r>
        <w:t>Tayvan’a İhracat Yaparken Gerekli olan Belgeler</w:t>
      </w:r>
    </w:p>
    <w:p w:rsidR="00A209E1" w:rsidRDefault="00A209E1" w:rsidP="00D63697">
      <w:pPr>
        <w:pStyle w:val="content-text"/>
        <w:jc w:val="both"/>
      </w:pPr>
      <w:r>
        <w:t xml:space="preserve">İhracatçının ya da yerel </w:t>
      </w:r>
      <w:proofErr w:type="spellStart"/>
      <w:r>
        <w:t>acentasının</w:t>
      </w:r>
      <w:proofErr w:type="spellEnd"/>
      <w:r>
        <w:t xml:space="preserve"> ithalat lisansı almak için başvurusunda proforma fatura getirmesi gerekir. Proforma fatura çıkartırken aşağıdaki bazı hususlar belirtilmelidir:</w:t>
      </w:r>
    </w:p>
    <w:p w:rsidR="00A209E1" w:rsidRDefault="00A209E1" w:rsidP="00A209E1">
      <w:pPr>
        <w:pStyle w:val="content-text"/>
      </w:pPr>
      <w:r>
        <w:t>-Malların tam tarifi(marka ismini içeren)</w:t>
      </w:r>
      <w:r>
        <w:br/>
        <w:t>-Kolileme metodu</w:t>
      </w:r>
      <w:r>
        <w:br/>
        <w:t>-Miktar</w:t>
      </w:r>
      <w:r>
        <w:br/>
        <w:t>-Birim fiyatı, toplam maliyet, navlun, sigorta ve diğer talimatlar</w:t>
      </w:r>
      <w:r>
        <w:br/>
        <w:t>-Gemiye yükleme şekli, yüklemenin tarihi ve limanı, hedef liman</w:t>
      </w:r>
      <w:r>
        <w:br/>
        <w:t>-Ödeme şartları</w:t>
      </w:r>
      <w:r>
        <w:br/>
      </w:r>
      <w:r>
        <w:lastRenderedPageBreak/>
        <w:t>-Öneri geçerliliği</w:t>
      </w:r>
      <w:r>
        <w:br/>
        <w:t xml:space="preserve">-Akreditif </w:t>
      </w:r>
      <w:r w:rsidR="00D2309C">
        <w:t>lehtarının</w:t>
      </w:r>
      <w:r>
        <w:t xml:space="preserve"> adı ve adresi</w:t>
      </w:r>
      <w:r>
        <w:br/>
        <w:t>-İthalatçı tarafından özel olarak istenen diğer detaylar</w:t>
      </w:r>
    </w:p>
    <w:p w:rsidR="00A209E1" w:rsidRDefault="00A209E1" w:rsidP="00D63697">
      <w:pPr>
        <w:pStyle w:val="content-text"/>
        <w:jc w:val="both"/>
      </w:pPr>
      <w:r>
        <w:t xml:space="preserve">Ek olarak, </w:t>
      </w:r>
      <w:proofErr w:type="gramStart"/>
      <w:r w:rsidR="00D2309C">
        <w:t>ıskonto</w:t>
      </w:r>
      <w:proofErr w:type="gramEnd"/>
      <w:r>
        <w:t xml:space="preserve"> edilmemiş ve eğer varsa komisyonu içeren fiyatları, proforma faturanın teyit etmesi gereklidir.</w:t>
      </w:r>
    </w:p>
    <w:p w:rsidR="00A209E1" w:rsidRDefault="00A209E1" w:rsidP="00D63697">
      <w:pPr>
        <w:pStyle w:val="content-text"/>
        <w:jc w:val="both"/>
      </w:pPr>
      <w:r>
        <w:t xml:space="preserve">Bütün vakalarda, ticari faturanın 4 </w:t>
      </w:r>
      <w:r w:rsidR="00D63697">
        <w:t>orijinal</w:t>
      </w:r>
      <w:r>
        <w:t xml:space="preserve"> kopyası, konşimentonun 3 </w:t>
      </w:r>
      <w:r w:rsidR="00D63697">
        <w:t>orijinal</w:t>
      </w:r>
      <w:r>
        <w:t xml:space="preserve"> kopyası ve koli listesinin 2 </w:t>
      </w:r>
      <w:r w:rsidR="00D63697">
        <w:t>orijinal</w:t>
      </w:r>
      <w:r>
        <w:t xml:space="preserve"> kopyası gereklidir. Bazı durumlarda Sigorta Sertifikası, Menşe </w:t>
      </w:r>
      <w:r w:rsidR="00D63697">
        <w:t>Şahadetnamesi</w:t>
      </w:r>
      <w:r>
        <w:t>, Bedelsiz Satış Sertifikası ve Kalite Kontrol Verileri gerekebilir. Tarım ürünleri, bitki ve hayvanların ülkeye girişinde ise, ihracatçı ülkede düzenlenmiş karantina veya muayene sertifikaları istenebilir.</w:t>
      </w:r>
    </w:p>
    <w:p w:rsidR="00A209E1" w:rsidRPr="00D63697" w:rsidRDefault="00A209E1" w:rsidP="00A209E1">
      <w:pPr>
        <w:pStyle w:val="content-text"/>
        <w:rPr>
          <w:b/>
        </w:rPr>
      </w:pPr>
      <w:r w:rsidRPr="00D63697">
        <w:rPr>
          <w:b/>
        </w:rPr>
        <w:t>Ödeme Şekilleri</w:t>
      </w:r>
    </w:p>
    <w:p w:rsidR="00A209E1" w:rsidRDefault="00A209E1" w:rsidP="00D63697">
      <w:pPr>
        <w:pStyle w:val="content-text"/>
        <w:jc w:val="both"/>
      </w:pPr>
      <w:r>
        <w:t>Tayvan’da ithalat ödeme sürecinde en önemli sistem akreditiftir. Tayvan ithalatçılarının büyük çoğunluğu 180 güne kadar geçerli akreditif kullanırlar. Çoğunlukla akreditif kullanılmasına rağmen diğer birkaç ödeme metodu da kullanılır. Bunlardan bazıları şunlardır: Vesaik mukabili ödeme, Vesaik mukabili kabul, Konsinye, Taksitli ödeme ve açık hesaptır.</w:t>
      </w:r>
      <w:r>
        <w:br/>
        <w:t> </w:t>
      </w:r>
    </w:p>
    <w:p w:rsidR="00A209E1" w:rsidRDefault="00A209E1" w:rsidP="00A209E1">
      <w:pPr>
        <w:pStyle w:val="Balk4"/>
      </w:pPr>
      <w:r>
        <w:t>Ulaştırma ve Taşımacılık Maliyetleri</w:t>
      </w:r>
    </w:p>
    <w:p w:rsidR="00A209E1" w:rsidRDefault="00A209E1" w:rsidP="00D63697">
      <w:pPr>
        <w:pStyle w:val="content-text"/>
        <w:jc w:val="both"/>
      </w:pPr>
      <w:r>
        <w:t xml:space="preserve">Ülkeye ulaşım ve kargo taşımacılığında en çok kullanılan havaalanları </w:t>
      </w:r>
      <w:proofErr w:type="spellStart"/>
      <w:r>
        <w:t>Chiang</w:t>
      </w:r>
      <w:proofErr w:type="spellEnd"/>
      <w:r>
        <w:t xml:space="preserve"> </w:t>
      </w:r>
      <w:proofErr w:type="spellStart"/>
      <w:r>
        <w:t>Kai-shek</w:t>
      </w:r>
      <w:proofErr w:type="spellEnd"/>
      <w:r>
        <w:t xml:space="preserve"> ve </w:t>
      </w:r>
      <w:proofErr w:type="spellStart"/>
      <w:r>
        <w:t>Kaohsiung</w:t>
      </w:r>
      <w:proofErr w:type="spellEnd"/>
      <w:r>
        <w:t xml:space="preserve"> uluslararası havaalanlarıdır. Bunun yanı sıra, çok sayıda yerel havaalanı, Tayvan’ın büyük şehirleri ve çevre adalara ulaşım sağlamaktadır. Denizyolu ile ulaşımda ise, </w:t>
      </w:r>
      <w:proofErr w:type="spellStart"/>
      <w:r>
        <w:t>Keelung</w:t>
      </w:r>
      <w:proofErr w:type="spellEnd"/>
      <w:r>
        <w:t xml:space="preserve">, </w:t>
      </w:r>
      <w:proofErr w:type="spellStart"/>
      <w:r>
        <w:t>Taichung</w:t>
      </w:r>
      <w:proofErr w:type="spellEnd"/>
      <w:r>
        <w:t xml:space="preserve">, </w:t>
      </w:r>
      <w:proofErr w:type="spellStart"/>
      <w:r>
        <w:t>Kaohsiung</w:t>
      </w:r>
      <w:proofErr w:type="spellEnd"/>
      <w:r>
        <w:t xml:space="preserve">, </w:t>
      </w:r>
      <w:proofErr w:type="spellStart"/>
      <w:r>
        <w:t>Suao</w:t>
      </w:r>
      <w:proofErr w:type="spellEnd"/>
      <w:r>
        <w:t xml:space="preserve"> ve </w:t>
      </w:r>
      <w:proofErr w:type="spellStart"/>
      <w:r>
        <w:t>Haulien</w:t>
      </w:r>
      <w:proofErr w:type="spellEnd"/>
      <w:r>
        <w:t xml:space="preserve"> limanları kullanılır. Şehir içi ulaşımda kullanılan taksilerde taksimetre vardır. Ülkenin başlıca şehirleri, oldukça geniş otobüs hizmet ağına sahiptir. Yine ülkede yaklaşık 1 000 km uzunluğunda demiryolu ağı vardır.</w:t>
      </w:r>
    </w:p>
    <w:p w:rsidR="009E7871" w:rsidRDefault="009E7871" w:rsidP="00A209E1">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p>
    <w:sectPr w:rsidR="009E78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0E26"/>
    <w:multiLevelType w:val="multilevel"/>
    <w:tmpl w:val="FB220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183743"/>
    <w:multiLevelType w:val="multilevel"/>
    <w:tmpl w:val="6C2A2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3006D9"/>
    <w:multiLevelType w:val="multilevel"/>
    <w:tmpl w:val="E270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F3089F"/>
    <w:multiLevelType w:val="multilevel"/>
    <w:tmpl w:val="EC562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F54DE1"/>
    <w:multiLevelType w:val="multilevel"/>
    <w:tmpl w:val="D490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203973"/>
    <w:multiLevelType w:val="multilevel"/>
    <w:tmpl w:val="6F965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D21D7F"/>
    <w:multiLevelType w:val="multilevel"/>
    <w:tmpl w:val="AC0A9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4E959CD"/>
    <w:multiLevelType w:val="multilevel"/>
    <w:tmpl w:val="C2B4F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C74D3E"/>
    <w:multiLevelType w:val="multilevel"/>
    <w:tmpl w:val="32F8C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2"/>
  </w:num>
  <w:num w:numId="4">
    <w:abstractNumId w:val="8"/>
  </w:num>
  <w:num w:numId="5">
    <w:abstractNumId w:val="4"/>
  </w:num>
  <w:num w:numId="6">
    <w:abstractNumId w:val="1"/>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0A3"/>
    <w:rsid w:val="000B62F5"/>
    <w:rsid w:val="001C31D3"/>
    <w:rsid w:val="00221558"/>
    <w:rsid w:val="002500EC"/>
    <w:rsid w:val="002D1A24"/>
    <w:rsid w:val="004A115B"/>
    <w:rsid w:val="00705DD6"/>
    <w:rsid w:val="00725167"/>
    <w:rsid w:val="00725CD5"/>
    <w:rsid w:val="00786E65"/>
    <w:rsid w:val="007E5667"/>
    <w:rsid w:val="008B47AC"/>
    <w:rsid w:val="009C30A3"/>
    <w:rsid w:val="009E34A8"/>
    <w:rsid w:val="009E7871"/>
    <w:rsid w:val="00A209E1"/>
    <w:rsid w:val="00A43E9E"/>
    <w:rsid w:val="00A607BD"/>
    <w:rsid w:val="00C96A63"/>
    <w:rsid w:val="00CA71CE"/>
    <w:rsid w:val="00D17CAF"/>
    <w:rsid w:val="00D2309C"/>
    <w:rsid w:val="00D63697"/>
    <w:rsid w:val="00E62AB4"/>
    <w:rsid w:val="00F03352"/>
    <w:rsid w:val="00F921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7E56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4A115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4">
    <w:name w:val="heading 4"/>
    <w:basedOn w:val="Normal"/>
    <w:link w:val="Balk4Char"/>
    <w:uiPriority w:val="9"/>
    <w:qFormat/>
    <w:rsid w:val="004A115B"/>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E5667"/>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4A115B"/>
    <w:rPr>
      <w:rFonts w:ascii="Times New Roman" w:eastAsia="Times New Roman" w:hAnsi="Times New Roman" w:cs="Times New Roman"/>
      <w:b/>
      <w:bCs/>
      <w:sz w:val="36"/>
      <w:szCs w:val="36"/>
      <w:lang w:eastAsia="tr-TR"/>
    </w:rPr>
  </w:style>
  <w:style w:type="character" w:customStyle="1" w:styleId="Balk4Char">
    <w:name w:val="Başlık 4 Char"/>
    <w:basedOn w:val="VarsaylanParagrafYazTipi"/>
    <w:link w:val="Balk4"/>
    <w:uiPriority w:val="9"/>
    <w:rsid w:val="004A115B"/>
    <w:rPr>
      <w:rFonts w:ascii="Times New Roman" w:eastAsia="Times New Roman" w:hAnsi="Times New Roman" w:cs="Times New Roman"/>
      <w:b/>
      <w:bCs/>
      <w:sz w:val="24"/>
      <w:szCs w:val="24"/>
      <w:lang w:eastAsia="tr-TR"/>
    </w:rPr>
  </w:style>
  <w:style w:type="paragraph" w:customStyle="1" w:styleId="content-text">
    <w:name w:val="content-text"/>
    <w:basedOn w:val="Normal"/>
    <w:rsid w:val="004A11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A115B"/>
    <w:rPr>
      <w:color w:val="0000FF"/>
      <w:u w:val="single"/>
    </w:rPr>
  </w:style>
  <w:style w:type="character" w:styleId="zlenenKpr">
    <w:name w:val="FollowedHyperlink"/>
    <w:basedOn w:val="VarsaylanParagrafYazTipi"/>
    <w:uiPriority w:val="99"/>
    <w:semiHidden/>
    <w:unhideWhenUsed/>
    <w:rsid w:val="004A115B"/>
    <w:rPr>
      <w:color w:val="800080"/>
      <w:u w:val="single"/>
    </w:rPr>
  </w:style>
  <w:style w:type="character" w:customStyle="1" w:styleId="x1a">
    <w:name w:val="x1a"/>
    <w:basedOn w:val="VarsaylanParagrafYazTipi"/>
    <w:rsid w:val="004A115B"/>
  </w:style>
  <w:style w:type="character" w:customStyle="1" w:styleId="x4v">
    <w:name w:val="x4v"/>
    <w:basedOn w:val="VarsaylanParagrafYazTipi"/>
    <w:rsid w:val="004A115B"/>
  </w:style>
  <w:style w:type="character" w:customStyle="1" w:styleId="xj9">
    <w:name w:val="xj9"/>
    <w:basedOn w:val="VarsaylanParagrafYazTipi"/>
    <w:rsid w:val="004A115B"/>
  </w:style>
  <w:style w:type="paragraph" w:styleId="NormalWeb">
    <w:name w:val="Normal (Web)"/>
    <w:basedOn w:val="Normal"/>
    <w:uiPriority w:val="99"/>
    <w:unhideWhenUsed/>
    <w:rsid w:val="004A11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A115B"/>
    <w:rPr>
      <w:b/>
      <w:bCs/>
    </w:rPr>
  </w:style>
  <w:style w:type="paragraph" w:styleId="BalonMetni">
    <w:name w:val="Balloon Text"/>
    <w:basedOn w:val="Normal"/>
    <w:link w:val="BalonMetniChar"/>
    <w:uiPriority w:val="99"/>
    <w:semiHidden/>
    <w:unhideWhenUsed/>
    <w:rsid w:val="004A115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A115B"/>
    <w:rPr>
      <w:rFonts w:ascii="Tahoma" w:hAnsi="Tahoma" w:cs="Tahoma"/>
      <w:sz w:val="16"/>
      <w:szCs w:val="16"/>
    </w:rPr>
  </w:style>
  <w:style w:type="paragraph" w:styleId="z-Formunst">
    <w:name w:val="HTML Top of Form"/>
    <w:basedOn w:val="Normal"/>
    <w:next w:val="Normal"/>
    <w:link w:val="z-FormunstChar"/>
    <w:hidden/>
    <w:uiPriority w:val="99"/>
    <w:semiHidden/>
    <w:unhideWhenUsed/>
    <w:rsid w:val="004A115B"/>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4A115B"/>
    <w:rPr>
      <w:rFonts w:ascii="Arial" w:eastAsia="Times New Roman" w:hAnsi="Arial" w:cs="Arial"/>
      <w:vanish/>
      <w:sz w:val="16"/>
      <w:szCs w:val="16"/>
      <w:lang w:eastAsia="tr-TR"/>
    </w:rPr>
  </w:style>
  <w:style w:type="character" w:customStyle="1" w:styleId="x1u">
    <w:name w:val="x1u"/>
    <w:basedOn w:val="VarsaylanParagrafYazTipi"/>
    <w:rsid w:val="004A115B"/>
  </w:style>
  <w:style w:type="paragraph" w:styleId="z-FormunAlt">
    <w:name w:val="HTML Bottom of Form"/>
    <w:basedOn w:val="Normal"/>
    <w:next w:val="Normal"/>
    <w:link w:val="z-FormunAltChar"/>
    <w:hidden/>
    <w:uiPriority w:val="99"/>
    <w:semiHidden/>
    <w:unhideWhenUsed/>
    <w:rsid w:val="004A115B"/>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4A115B"/>
    <w:rPr>
      <w:rFonts w:ascii="Arial" w:eastAsia="Times New Roman" w:hAnsi="Arial" w:cs="Arial"/>
      <w:vanish/>
      <w:sz w:val="16"/>
      <w:szCs w:val="16"/>
      <w:lang w:eastAsia="tr-TR"/>
    </w:rPr>
  </w:style>
  <w:style w:type="table" w:styleId="TabloKlavuzu">
    <w:name w:val="Table Grid"/>
    <w:basedOn w:val="NormalTablo"/>
    <w:uiPriority w:val="59"/>
    <w:rsid w:val="00221558"/>
    <w:pPr>
      <w:spacing w:after="0" w:line="240" w:lineRule="auto"/>
    </w:pPr>
    <w:rPr>
      <w:rFonts w:eastAsiaTheme="minorEastAsia"/>
      <w:lang w:eastAsia="tr-T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Vurgu">
    <w:name w:val="Emphasis"/>
    <w:basedOn w:val="VarsaylanParagrafYazTipi"/>
    <w:uiPriority w:val="20"/>
    <w:qFormat/>
    <w:rsid w:val="007E5667"/>
    <w:rPr>
      <w:i/>
      <w:iCs/>
    </w:rPr>
  </w:style>
  <w:style w:type="paragraph" w:styleId="AralkYok">
    <w:name w:val="No Spacing"/>
    <w:uiPriority w:val="1"/>
    <w:qFormat/>
    <w:rsid w:val="00C96A6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7E56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4A115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4">
    <w:name w:val="heading 4"/>
    <w:basedOn w:val="Normal"/>
    <w:link w:val="Balk4Char"/>
    <w:uiPriority w:val="9"/>
    <w:qFormat/>
    <w:rsid w:val="004A115B"/>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E5667"/>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4A115B"/>
    <w:rPr>
      <w:rFonts w:ascii="Times New Roman" w:eastAsia="Times New Roman" w:hAnsi="Times New Roman" w:cs="Times New Roman"/>
      <w:b/>
      <w:bCs/>
      <w:sz w:val="36"/>
      <w:szCs w:val="36"/>
      <w:lang w:eastAsia="tr-TR"/>
    </w:rPr>
  </w:style>
  <w:style w:type="character" w:customStyle="1" w:styleId="Balk4Char">
    <w:name w:val="Başlık 4 Char"/>
    <w:basedOn w:val="VarsaylanParagrafYazTipi"/>
    <w:link w:val="Balk4"/>
    <w:uiPriority w:val="9"/>
    <w:rsid w:val="004A115B"/>
    <w:rPr>
      <w:rFonts w:ascii="Times New Roman" w:eastAsia="Times New Roman" w:hAnsi="Times New Roman" w:cs="Times New Roman"/>
      <w:b/>
      <w:bCs/>
      <w:sz w:val="24"/>
      <w:szCs w:val="24"/>
      <w:lang w:eastAsia="tr-TR"/>
    </w:rPr>
  </w:style>
  <w:style w:type="paragraph" w:customStyle="1" w:styleId="content-text">
    <w:name w:val="content-text"/>
    <w:basedOn w:val="Normal"/>
    <w:rsid w:val="004A11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A115B"/>
    <w:rPr>
      <w:color w:val="0000FF"/>
      <w:u w:val="single"/>
    </w:rPr>
  </w:style>
  <w:style w:type="character" w:styleId="zlenenKpr">
    <w:name w:val="FollowedHyperlink"/>
    <w:basedOn w:val="VarsaylanParagrafYazTipi"/>
    <w:uiPriority w:val="99"/>
    <w:semiHidden/>
    <w:unhideWhenUsed/>
    <w:rsid w:val="004A115B"/>
    <w:rPr>
      <w:color w:val="800080"/>
      <w:u w:val="single"/>
    </w:rPr>
  </w:style>
  <w:style w:type="character" w:customStyle="1" w:styleId="x1a">
    <w:name w:val="x1a"/>
    <w:basedOn w:val="VarsaylanParagrafYazTipi"/>
    <w:rsid w:val="004A115B"/>
  </w:style>
  <w:style w:type="character" w:customStyle="1" w:styleId="x4v">
    <w:name w:val="x4v"/>
    <w:basedOn w:val="VarsaylanParagrafYazTipi"/>
    <w:rsid w:val="004A115B"/>
  </w:style>
  <w:style w:type="character" w:customStyle="1" w:styleId="xj9">
    <w:name w:val="xj9"/>
    <w:basedOn w:val="VarsaylanParagrafYazTipi"/>
    <w:rsid w:val="004A115B"/>
  </w:style>
  <w:style w:type="paragraph" w:styleId="NormalWeb">
    <w:name w:val="Normal (Web)"/>
    <w:basedOn w:val="Normal"/>
    <w:uiPriority w:val="99"/>
    <w:unhideWhenUsed/>
    <w:rsid w:val="004A11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A115B"/>
    <w:rPr>
      <w:b/>
      <w:bCs/>
    </w:rPr>
  </w:style>
  <w:style w:type="paragraph" w:styleId="BalonMetni">
    <w:name w:val="Balloon Text"/>
    <w:basedOn w:val="Normal"/>
    <w:link w:val="BalonMetniChar"/>
    <w:uiPriority w:val="99"/>
    <w:semiHidden/>
    <w:unhideWhenUsed/>
    <w:rsid w:val="004A115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A115B"/>
    <w:rPr>
      <w:rFonts w:ascii="Tahoma" w:hAnsi="Tahoma" w:cs="Tahoma"/>
      <w:sz w:val="16"/>
      <w:szCs w:val="16"/>
    </w:rPr>
  </w:style>
  <w:style w:type="paragraph" w:styleId="z-Formunst">
    <w:name w:val="HTML Top of Form"/>
    <w:basedOn w:val="Normal"/>
    <w:next w:val="Normal"/>
    <w:link w:val="z-FormunstChar"/>
    <w:hidden/>
    <w:uiPriority w:val="99"/>
    <w:semiHidden/>
    <w:unhideWhenUsed/>
    <w:rsid w:val="004A115B"/>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4A115B"/>
    <w:rPr>
      <w:rFonts w:ascii="Arial" w:eastAsia="Times New Roman" w:hAnsi="Arial" w:cs="Arial"/>
      <w:vanish/>
      <w:sz w:val="16"/>
      <w:szCs w:val="16"/>
      <w:lang w:eastAsia="tr-TR"/>
    </w:rPr>
  </w:style>
  <w:style w:type="character" w:customStyle="1" w:styleId="x1u">
    <w:name w:val="x1u"/>
    <w:basedOn w:val="VarsaylanParagrafYazTipi"/>
    <w:rsid w:val="004A115B"/>
  </w:style>
  <w:style w:type="paragraph" w:styleId="z-FormunAlt">
    <w:name w:val="HTML Bottom of Form"/>
    <w:basedOn w:val="Normal"/>
    <w:next w:val="Normal"/>
    <w:link w:val="z-FormunAltChar"/>
    <w:hidden/>
    <w:uiPriority w:val="99"/>
    <w:semiHidden/>
    <w:unhideWhenUsed/>
    <w:rsid w:val="004A115B"/>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4A115B"/>
    <w:rPr>
      <w:rFonts w:ascii="Arial" w:eastAsia="Times New Roman" w:hAnsi="Arial" w:cs="Arial"/>
      <w:vanish/>
      <w:sz w:val="16"/>
      <w:szCs w:val="16"/>
      <w:lang w:eastAsia="tr-TR"/>
    </w:rPr>
  </w:style>
  <w:style w:type="table" w:styleId="TabloKlavuzu">
    <w:name w:val="Table Grid"/>
    <w:basedOn w:val="NormalTablo"/>
    <w:uiPriority w:val="59"/>
    <w:rsid w:val="00221558"/>
    <w:pPr>
      <w:spacing w:after="0" w:line="240" w:lineRule="auto"/>
    </w:pPr>
    <w:rPr>
      <w:rFonts w:eastAsiaTheme="minorEastAsia"/>
      <w:lang w:eastAsia="tr-T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Vurgu">
    <w:name w:val="Emphasis"/>
    <w:basedOn w:val="VarsaylanParagrafYazTipi"/>
    <w:uiPriority w:val="20"/>
    <w:qFormat/>
    <w:rsid w:val="007E5667"/>
    <w:rPr>
      <w:i/>
      <w:iCs/>
    </w:rPr>
  </w:style>
  <w:style w:type="paragraph" w:styleId="AralkYok">
    <w:name w:val="No Spacing"/>
    <w:uiPriority w:val="1"/>
    <w:qFormat/>
    <w:rsid w:val="00C96A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976457">
      <w:bodyDiv w:val="1"/>
      <w:marLeft w:val="0"/>
      <w:marRight w:val="0"/>
      <w:marTop w:val="0"/>
      <w:marBottom w:val="0"/>
      <w:divBdr>
        <w:top w:val="none" w:sz="0" w:space="0" w:color="auto"/>
        <w:left w:val="none" w:sz="0" w:space="0" w:color="auto"/>
        <w:bottom w:val="none" w:sz="0" w:space="0" w:color="auto"/>
        <w:right w:val="none" w:sz="0" w:space="0" w:color="auto"/>
      </w:divBdr>
      <w:divsChild>
        <w:div w:id="146557797">
          <w:marLeft w:val="0"/>
          <w:marRight w:val="0"/>
          <w:marTop w:val="0"/>
          <w:marBottom w:val="0"/>
          <w:divBdr>
            <w:top w:val="none" w:sz="0" w:space="0" w:color="auto"/>
            <w:left w:val="none" w:sz="0" w:space="0" w:color="auto"/>
            <w:bottom w:val="none" w:sz="0" w:space="0" w:color="auto"/>
            <w:right w:val="none" w:sz="0" w:space="0" w:color="auto"/>
          </w:divBdr>
        </w:div>
      </w:divsChild>
    </w:div>
    <w:div w:id="295725693">
      <w:bodyDiv w:val="1"/>
      <w:marLeft w:val="0"/>
      <w:marRight w:val="0"/>
      <w:marTop w:val="0"/>
      <w:marBottom w:val="0"/>
      <w:divBdr>
        <w:top w:val="none" w:sz="0" w:space="0" w:color="auto"/>
        <w:left w:val="none" w:sz="0" w:space="0" w:color="auto"/>
        <w:bottom w:val="none" w:sz="0" w:space="0" w:color="auto"/>
        <w:right w:val="none" w:sz="0" w:space="0" w:color="auto"/>
      </w:divBdr>
    </w:div>
    <w:div w:id="430006877">
      <w:bodyDiv w:val="1"/>
      <w:marLeft w:val="0"/>
      <w:marRight w:val="0"/>
      <w:marTop w:val="0"/>
      <w:marBottom w:val="0"/>
      <w:divBdr>
        <w:top w:val="none" w:sz="0" w:space="0" w:color="auto"/>
        <w:left w:val="none" w:sz="0" w:space="0" w:color="auto"/>
        <w:bottom w:val="none" w:sz="0" w:space="0" w:color="auto"/>
        <w:right w:val="none" w:sz="0" w:space="0" w:color="auto"/>
      </w:divBdr>
    </w:div>
    <w:div w:id="504520967">
      <w:bodyDiv w:val="1"/>
      <w:marLeft w:val="0"/>
      <w:marRight w:val="0"/>
      <w:marTop w:val="0"/>
      <w:marBottom w:val="0"/>
      <w:divBdr>
        <w:top w:val="none" w:sz="0" w:space="0" w:color="auto"/>
        <w:left w:val="none" w:sz="0" w:space="0" w:color="auto"/>
        <w:bottom w:val="none" w:sz="0" w:space="0" w:color="auto"/>
        <w:right w:val="none" w:sz="0" w:space="0" w:color="auto"/>
      </w:divBdr>
      <w:divsChild>
        <w:div w:id="130094649">
          <w:marLeft w:val="0"/>
          <w:marRight w:val="0"/>
          <w:marTop w:val="0"/>
          <w:marBottom w:val="0"/>
          <w:divBdr>
            <w:top w:val="none" w:sz="0" w:space="0" w:color="auto"/>
            <w:left w:val="none" w:sz="0" w:space="0" w:color="auto"/>
            <w:bottom w:val="none" w:sz="0" w:space="0" w:color="auto"/>
            <w:right w:val="none" w:sz="0" w:space="0" w:color="auto"/>
          </w:divBdr>
          <w:divsChild>
            <w:div w:id="1490442643">
              <w:marLeft w:val="0"/>
              <w:marRight w:val="0"/>
              <w:marTop w:val="0"/>
              <w:marBottom w:val="0"/>
              <w:divBdr>
                <w:top w:val="none" w:sz="0" w:space="0" w:color="auto"/>
                <w:left w:val="none" w:sz="0" w:space="0" w:color="auto"/>
                <w:bottom w:val="none" w:sz="0" w:space="0" w:color="auto"/>
                <w:right w:val="none" w:sz="0" w:space="0" w:color="auto"/>
              </w:divBdr>
              <w:divsChild>
                <w:div w:id="1998919374">
                  <w:marLeft w:val="0"/>
                  <w:marRight w:val="0"/>
                  <w:marTop w:val="0"/>
                  <w:marBottom w:val="0"/>
                  <w:divBdr>
                    <w:top w:val="none" w:sz="0" w:space="0" w:color="auto"/>
                    <w:left w:val="none" w:sz="0" w:space="0" w:color="auto"/>
                    <w:bottom w:val="none" w:sz="0" w:space="0" w:color="auto"/>
                    <w:right w:val="none" w:sz="0" w:space="0" w:color="auto"/>
                  </w:divBdr>
                  <w:divsChild>
                    <w:div w:id="1459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436253">
      <w:bodyDiv w:val="1"/>
      <w:marLeft w:val="0"/>
      <w:marRight w:val="0"/>
      <w:marTop w:val="0"/>
      <w:marBottom w:val="0"/>
      <w:divBdr>
        <w:top w:val="none" w:sz="0" w:space="0" w:color="auto"/>
        <w:left w:val="none" w:sz="0" w:space="0" w:color="auto"/>
        <w:bottom w:val="none" w:sz="0" w:space="0" w:color="auto"/>
        <w:right w:val="none" w:sz="0" w:space="0" w:color="auto"/>
      </w:divBdr>
      <w:divsChild>
        <w:div w:id="606888144">
          <w:marLeft w:val="0"/>
          <w:marRight w:val="0"/>
          <w:marTop w:val="0"/>
          <w:marBottom w:val="0"/>
          <w:divBdr>
            <w:top w:val="none" w:sz="0" w:space="0" w:color="auto"/>
            <w:left w:val="none" w:sz="0" w:space="0" w:color="auto"/>
            <w:bottom w:val="none" w:sz="0" w:space="0" w:color="auto"/>
            <w:right w:val="none" w:sz="0" w:space="0" w:color="auto"/>
          </w:divBdr>
          <w:divsChild>
            <w:div w:id="102843414">
              <w:marLeft w:val="0"/>
              <w:marRight w:val="0"/>
              <w:marTop w:val="0"/>
              <w:marBottom w:val="0"/>
              <w:divBdr>
                <w:top w:val="none" w:sz="0" w:space="0" w:color="auto"/>
                <w:left w:val="none" w:sz="0" w:space="0" w:color="auto"/>
                <w:bottom w:val="none" w:sz="0" w:space="0" w:color="auto"/>
                <w:right w:val="none" w:sz="0" w:space="0" w:color="auto"/>
              </w:divBdr>
              <w:divsChild>
                <w:div w:id="73092872">
                  <w:marLeft w:val="0"/>
                  <w:marRight w:val="0"/>
                  <w:marTop w:val="0"/>
                  <w:marBottom w:val="0"/>
                  <w:divBdr>
                    <w:top w:val="none" w:sz="0" w:space="0" w:color="auto"/>
                    <w:left w:val="none" w:sz="0" w:space="0" w:color="auto"/>
                    <w:bottom w:val="none" w:sz="0" w:space="0" w:color="auto"/>
                    <w:right w:val="none" w:sz="0" w:space="0" w:color="auto"/>
                  </w:divBdr>
                  <w:divsChild>
                    <w:div w:id="473065850">
                      <w:marLeft w:val="0"/>
                      <w:marRight w:val="0"/>
                      <w:marTop w:val="0"/>
                      <w:marBottom w:val="0"/>
                      <w:divBdr>
                        <w:top w:val="none" w:sz="0" w:space="0" w:color="auto"/>
                        <w:left w:val="none" w:sz="0" w:space="0" w:color="auto"/>
                        <w:bottom w:val="none" w:sz="0" w:space="0" w:color="auto"/>
                        <w:right w:val="none" w:sz="0" w:space="0" w:color="auto"/>
                      </w:divBdr>
                      <w:divsChild>
                        <w:div w:id="637690998">
                          <w:marLeft w:val="0"/>
                          <w:marRight w:val="0"/>
                          <w:marTop w:val="0"/>
                          <w:marBottom w:val="0"/>
                          <w:divBdr>
                            <w:top w:val="none" w:sz="0" w:space="0" w:color="auto"/>
                            <w:left w:val="none" w:sz="0" w:space="0" w:color="auto"/>
                            <w:bottom w:val="none" w:sz="0" w:space="0" w:color="auto"/>
                            <w:right w:val="none" w:sz="0" w:space="0" w:color="auto"/>
                          </w:divBdr>
                          <w:divsChild>
                            <w:div w:id="1820420711">
                              <w:marLeft w:val="0"/>
                              <w:marRight w:val="0"/>
                              <w:marTop w:val="0"/>
                              <w:marBottom w:val="0"/>
                              <w:divBdr>
                                <w:top w:val="none" w:sz="0" w:space="0" w:color="auto"/>
                                <w:left w:val="none" w:sz="0" w:space="0" w:color="auto"/>
                                <w:bottom w:val="none" w:sz="0" w:space="0" w:color="auto"/>
                                <w:right w:val="none" w:sz="0" w:space="0" w:color="auto"/>
                              </w:divBdr>
                              <w:divsChild>
                                <w:div w:id="878132321">
                                  <w:marLeft w:val="0"/>
                                  <w:marRight w:val="0"/>
                                  <w:marTop w:val="0"/>
                                  <w:marBottom w:val="0"/>
                                  <w:divBdr>
                                    <w:top w:val="none" w:sz="0" w:space="0" w:color="auto"/>
                                    <w:left w:val="none" w:sz="0" w:space="0" w:color="auto"/>
                                    <w:bottom w:val="none" w:sz="0" w:space="0" w:color="auto"/>
                                    <w:right w:val="none" w:sz="0" w:space="0" w:color="auto"/>
                                  </w:divBdr>
                                  <w:divsChild>
                                    <w:div w:id="1776361442">
                                      <w:marLeft w:val="0"/>
                                      <w:marRight w:val="0"/>
                                      <w:marTop w:val="0"/>
                                      <w:marBottom w:val="0"/>
                                      <w:divBdr>
                                        <w:top w:val="none" w:sz="0" w:space="0" w:color="auto"/>
                                        <w:left w:val="none" w:sz="0" w:space="0" w:color="auto"/>
                                        <w:bottom w:val="none" w:sz="0" w:space="0" w:color="auto"/>
                                        <w:right w:val="none" w:sz="0" w:space="0" w:color="auto"/>
                                      </w:divBdr>
                                      <w:divsChild>
                                        <w:div w:id="1483934937">
                                          <w:marLeft w:val="0"/>
                                          <w:marRight w:val="0"/>
                                          <w:marTop w:val="0"/>
                                          <w:marBottom w:val="0"/>
                                          <w:divBdr>
                                            <w:top w:val="none" w:sz="0" w:space="0" w:color="auto"/>
                                            <w:left w:val="none" w:sz="0" w:space="0" w:color="auto"/>
                                            <w:bottom w:val="none" w:sz="0" w:space="0" w:color="auto"/>
                                            <w:right w:val="none" w:sz="0" w:space="0" w:color="auto"/>
                                          </w:divBdr>
                                          <w:divsChild>
                                            <w:div w:id="1360350612">
                                              <w:marLeft w:val="0"/>
                                              <w:marRight w:val="0"/>
                                              <w:marTop w:val="0"/>
                                              <w:marBottom w:val="0"/>
                                              <w:divBdr>
                                                <w:top w:val="none" w:sz="0" w:space="0" w:color="auto"/>
                                                <w:left w:val="none" w:sz="0" w:space="0" w:color="auto"/>
                                                <w:bottom w:val="none" w:sz="0" w:space="0" w:color="auto"/>
                                                <w:right w:val="none" w:sz="0" w:space="0" w:color="auto"/>
                                              </w:divBdr>
                                              <w:divsChild>
                                                <w:div w:id="2010476050">
                                                  <w:marLeft w:val="0"/>
                                                  <w:marRight w:val="0"/>
                                                  <w:marTop w:val="0"/>
                                                  <w:marBottom w:val="0"/>
                                                  <w:divBdr>
                                                    <w:top w:val="none" w:sz="0" w:space="0" w:color="auto"/>
                                                    <w:left w:val="none" w:sz="0" w:space="0" w:color="auto"/>
                                                    <w:bottom w:val="none" w:sz="0" w:space="0" w:color="auto"/>
                                                    <w:right w:val="none" w:sz="0" w:space="0" w:color="auto"/>
                                                  </w:divBdr>
                                                  <w:divsChild>
                                                    <w:div w:id="1233202125">
                                                      <w:marLeft w:val="0"/>
                                                      <w:marRight w:val="0"/>
                                                      <w:marTop w:val="0"/>
                                                      <w:marBottom w:val="0"/>
                                                      <w:divBdr>
                                                        <w:top w:val="none" w:sz="0" w:space="0" w:color="auto"/>
                                                        <w:left w:val="none" w:sz="0" w:space="0" w:color="auto"/>
                                                        <w:bottom w:val="none" w:sz="0" w:space="0" w:color="auto"/>
                                                        <w:right w:val="none" w:sz="0" w:space="0" w:color="auto"/>
                                                      </w:divBdr>
                                                      <w:divsChild>
                                                        <w:div w:id="391200170">
                                                          <w:marLeft w:val="0"/>
                                                          <w:marRight w:val="0"/>
                                                          <w:marTop w:val="0"/>
                                                          <w:marBottom w:val="0"/>
                                                          <w:divBdr>
                                                            <w:top w:val="none" w:sz="0" w:space="0" w:color="auto"/>
                                                            <w:left w:val="none" w:sz="0" w:space="0" w:color="auto"/>
                                                            <w:bottom w:val="none" w:sz="0" w:space="0" w:color="auto"/>
                                                            <w:right w:val="none" w:sz="0" w:space="0" w:color="auto"/>
                                                          </w:divBdr>
                                                          <w:divsChild>
                                                            <w:div w:id="1337655844">
                                                              <w:marLeft w:val="0"/>
                                                              <w:marRight w:val="0"/>
                                                              <w:marTop w:val="0"/>
                                                              <w:marBottom w:val="0"/>
                                                              <w:divBdr>
                                                                <w:top w:val="none" w:sz="0" w:space="0" w:color="auto"/>
                                                                <w:left w:val="none" w:sz="0" w:space="0" w:color="auto"/>
                                                                <w:bottom w:val="none" w:sz="0" w:space="0" w:color="auto"/>
                                                                <w:right w:val="none" w:sz="0" w:space="0" w:color="auto"/>
                                                              </w:divBdr>
                                                              <w:divsChild>
                                                                <w:div w:id="1895123028">
                                                                  <w:marLeft w:val="0"/>
                                                                  <w:marRight w:val="0"/>
                                                                  <w:marTop w:val="0"/>
                                                                  <w:marBottom w:val="0"/>
                                                                  <w:divBdr>
                                                                    <w:top w:val="none" w:sz="0" w:space="0" w:color="auto"/>
                                                                    <w:left w:val="none" w:sz="0" w:space="0" w:color="auto"/>
                                                                    <w:bottom w:val="none" w:sz="0" w:space="0" w:color="auto"/>
                                                                    <w:right w:val="none" w:sz="0" w:space="0" w:color="auto"/>
                                                                  </w:divBdr>
                                                                  <w:divsChild>
                                                                    <w:div w:id="773324813">
                                                                      <w:marLeft w:val="0"/>
                                                                      <w:marRight w:val="0"/>
                                                                      <w:marTop w:val="0"/>
                                                                      <w:marBottom w:val="0"/>
                                                                      <w:divBdr>
                                                                        <w:top w:val="none" w:sz="0" w:space="0" w:color="auto"/>
                                                                        <w:left w:val="none" w:sz="0" w:space="0" w:color="auto"/>
                                                                        <w:bottom w:val="none" w:sz="0" w:space="0" w:color="auto"/>
                                                                        <w:right w:val="none" w:sz="0" w:space="0" w:color="auto"/>
                                                                      </w:divBdr>
                                                                      <w:divsChild>
                                                                        <w:div w:id="2083286135">
                                                                          <w:marLeft w:val="0"/>
                                                                          <w:marRight w:val="0"/>
                                                                          <w:marTop w:val="0"/>
                                                                          <w:marBottom w:val="0"/>
                                                                          <w:divBdr>
                                                                            <w:top w:val="none" w:sz="0" w:space="0" w:color="auto"/>
                                                                            <w:left w:val="none" w:sz="0" w:space="0" w:color="auto"/>
                                                                            <w:bottom w:val="none" w:sz="0" w:space="0" w:color="auto"/>
                                                                            <w:right w:val="none" w:sz="0" w:space="0" w:color="auto"/>
                                                                          </w:divBdr>
                                                                          <w:divsChild>
                                                                            <w:div w:id="788864062">
                                                                              <w:marLeft w:val="0"/>
                                                                              <w:marRight w:val="0"/>
                                                                              <w:marTop w:val="0"/>
                                                                              <w:marBottom w:val="0"/>
                                                                              <w:divBdr>
                                                                                <w:top w:val="none" w:sz="0" w:space="0" w:color="auto"/>
                                                                                <w:left w:val="none" w:sz="0" w:space="0" w:color="auto"/>
                                                                                <w:bottom w:val="none" w:sz="0" w:space="0" w:color="auto"/>
                                                                                <w:right w:val="none" w:sz="0" w:space="0" w:color="auto"/>
                                                                              </w:divBdr>
                                                                              <w:divsChild>
                                                                                <w:div w:id="178056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7960008">
      <w:bodyDiv w:val="1"/>
      <w:marLeft w:val="0"/>
      <w:marRight w:val="0"/>
      <w:marTop w:val="0"/>
      <w:marBottom w:val="0"/>
      <w:divBdr>
        <w:top w:val="none" w:sz="0" w:space="0" w:color="auto"/>
        <w:left w:val="none" w:sz="0" w:space="0" w:color="auto"/>
        <w:bottom w:val="none" w:sz="0" w:space="0" w:color="auto"/>
        <w:right w:val="none" w:sz="0" w:space="0" w:color="auto"/>
      </w:divBdr>
      <w:divsChild>
        <w:div w:id="2017729398">
          <w:marLeft w:val="0"/>
          <w:marRight w:val="0"/>
          <w:marTop w:val="0"/>
          <w:marBottom w:val="0"/>
          <w:divBdr>
            <w:top w:val="none" w:sz="0" w:space="0" w:color="auto"/>
            <w:left w:val="none" w:sz="0" w:space="0" w:color="auto"/>
            <w:bottom w:val="none" w:sz="0" w:space="0" w:color="auto"/>
            <w:right w:val="none" w:sz="0" w:space="0" w:color="auto"/>
          </w:divBdr>
          <w:divsChild>
            <w:div w:id="339042157">
              <w:marLeft w:val="0"/>
              <w:marRight w:val="0"/>
              <w:marTop w:val="0"/>
              <w:marBottom w:val="0"/>
              <w:divBdr>
                <w:top w:val="none" w:sz="0" w:space="0" w:color="auto"/>
                <w:left w:val="none" w:sz="0" w:space="0" w:color="auto"/>
                <w:bottom w:val="none" w:sz="0" w:space="0" w:color="auto"/>
                <w:right w:val="none" w:sz="0" w:space="0" w:color="auto"/>
              </w:divBdr>
              <w:divsChild>
                <w:div w:id="1670250926">
                  <w:marLeft w:val="0"/>
                  <w:marRight w:val="0"/>
                  <w:marTop w:val="0"/>
                  <w:marBottom w:val="0"/>
                  <w:divBdr>
                    <w:top w:val="none" w:sz="0" w:space="0" w:color="auto"/>
                    <w:left w:val="none" w:sz="0" w:space="0" w:color="auto"/>
                    <w:bottom w:val="none" w:sz="0" w:space="0" w:color="auto"/>
                    <w:right w:val="none" w:sz="0" w:space="0" w:color="auto"/>
                  </w:divBdr>
                  <w:divsChild>
                    <w:div w:id="1215653310">
                      <w:marLeft w:val="0"/>
                      <w:marRight w:val="0"/>
                      <w:marTop w:val="0"/>
                      <w:marBottom w:val="0"/>
                      <w:divBdr>
                        <w:top w:val="none" w:sz="0" w:space="0" w:color="auto"/>
                        <w:left w:val="none" w:sz="0" w:space="0" w:color="auto"/>
                        <w:bottom w:val="none" w:sz="0" w:space="0" w:color="auto"/>
                        <w:right w:val="none" w:sz="0" w:space="0" w:color="auto"/>
                      </w:divBdr>
                      <w:divsChild>
                        <w:div w:id="575751758">
                          <w:marLeft w:val="0"/>
                          <w:marRight w:val="0"/>
                          <w:marTop w:val="0"/>
                          <w:marBottom w:val="0"/>
                          <w:divBdr>
                            <w:top w:val="none" w:sz="0" w:space="0" w:color="auto"/>
                            <w:left w:val="none" w:sz="0" w:space="0" w:color="auto"/>
                            <w:bottom w:val="none" w:sz="0" w:space="0" w:color="auto"/>
                            <w:right w:val="none" w:sz="0" w:space="0" w:color="auto"/>
                          </w:divBdr>
                          <w:divsChild>
                            <w:div w:id="1858688167">
                              <w:marLeft w:val="0"/>
                              <w:marRight w:val="0"/>
                              <w:marTop w:val="0"/>
                              <w:marBottom w:val="0"/>
                              <w:divBdr>
                                <w:top w:val="none" w:sz="0" w:space="0" w:color="auto"/>
                                <w:left w:val="none" w:sz="0" w:space="0" w:color="auto"/>
                                <w:bottom w:val="none" w:sz="0" w:space="0" w:color="auto"/>
                                <w:right w:val="none" w:sz="0" w:space="0" w:color="auto"/>
                              </w:divBdr>
                              <w:divsChild>
                                <w:div w:id="1292134013">
                                  <w:marLeft w:val="0"/>
                                  <w:marRight w:val="0"/>
                                  <w:marTop w:val="0"/>
                                  <w:marBottom w:val="0"/>
                                  <w:divBdr>
                                    <w:top w:val="none" w:sz="0" w:space="0" w:color="auto"/>
                                    <w:left w:val="none" w:sz="0" w:space="0" w:color="auto"/>
                                    <w:bottom w:val="none" w:sz="0" w:space="0" w:color="auto"/>
                                    <w:right w:val="none" w:sz="0" w:space="0" w:color="auto"/>
                                  </w:divBdr>
                                  <w:divsChild>
                                    <w:div w:id="2057124226">
                                      <w:marLeft w:val="0"/>
                                      <w:marRight w:val="0"/>
                                      <w:marTop w:val="0"/>
                                      <w:marBottom w:val="0"/>
                                      <w:divBdr>
                                        <w:top w:val="none" w:sz="0" w:space="0" w:color="auto"/>
                                        <w:left w:val="none" w:sz="0" w:space="0" w:color="auto"/>
                                        <w:bottom w:val="none" w:sz="0" w:space="0" w:color="auto"/>
                                        <w:right w:val="none" w:sz="0" w:space="0" w:color="auto"/>
                                      </w:divBdr>
                                    </w:div>
                                    <w:div w:id="100598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858486">
                  <w:marLeft w:val="0"/>
                  <w:marRight w:val="0"/>
                  <w:marTop w:val="0"/>
                  <w:marBottom w:val="0"/>
                  <w:divBdr>
                    <w:top w:val="none" w:sz="0" w:space="0" w:color="auto"/>
                    <w:left w:val="none" w:sz="0" w:space="0" w:color="auto"/>
                    <w:bottom w:val="none" w:sz="0" w:space="0" w:color="auto"/>
                    <w:right w:val="none" w:sz="0" w:space="0" w:color="auto"/>
                  </w:divBdr>
                  <w:divsChild>
                    <w:div w:id="1347977158">
                      <w:marLeft w:val="0"/>
                      <w:marRight w:val="0"/>
                      <w:marTop w:val="0"/>
                      <w:marBottom w:val="0"/>
                      <w:divBdr>
                        <w:top w:val="none" w:sz="0" w:space="0" w:color="auto"/>
                        <w:left w:val="none" w:sz="0" w:space="0" w:color="auto"/>
                        <w:bottom w:val="none" w:sz="0" w:space="0" w:color="auto"/>
                        <w:right w:val="none" w:sz="0" w:space="0" w:color="auto"/>
                      </w:divBdr>
                      <w:divsChild>
                        <w:div w:id="542904109">
                          <w:marLeft w:val="0"/>
                          <w:marRight w:val="0"/>
                          <w:marTop w:val="0"/>
                          <w:marBottom w:val="0"/>
                          <w:divBdr>
                            <w:top w:val="none" w:sz="0" w:space="0" w:color="auto"/>
                            <w:left w:val="none" w:sz="0" w:space="0" w:color="auto"/>
                            <w:bottom w:val="none" w:sz="0" w:space="0" w:color="auto"/>
                            <w:right w:val="none" w:sz="0" w:space="0" w:color="auto"/>
                          </w:divBdr>
                          <w:divsChild>
                            <w:div w:id="1096947227">
                              <w:marLeft w:val="0"/>
                              <w:marRight w:val="0"/>
                              <w:marTop w:val="0"/>
                              <w:marBottom w:val="0"/>
                              <w:divBdr>
                                <w:top w:val="none" w:sz="0" w:space="0" w:color="auto"/>
                                <w:left w:val="none" w:sz="0" w:space="0" w:color="auto"/>
                                <w:bottom w:val="none" w:sz="0" w:space="0" w:color="auto"/>
                                <w:right w:val="none" w:sz="0" w:space="0" w:color="auto"/>
                              </w:divBdr>
                              <w:divsChild>
                                <w:div w:id="572279408">
                                  <w:marLeft w:val="0"/>
                                  <w:marRight w:val="0"/>
                                  <w:marTop w:val="0"/>
                                  <w:marBottom w:val="0"/>
                                  <w:divBdr>
                                    <w:top w:val="none" w:sz="0" w:space="0" w:color="auto"/>
                                    <w:left w:val="none" w:sz="0" w:space="0" w:color="auto"/>
                                    <w:bottom w:val="none" w:sz="0" w:space="0" w:color="auto"/>
                                    <w:right w:val="none" w:sz="0" w:space="0" w:color="auto"/>
                                  </w:divBdr>
                                  <w:divsChild>
                                    <w:div w:id="105196296">
                                      <w:marLeft w:val="0"/>
                                      <w:marRight w:val="0"/>
                                      <w:marTop w:val="0"/>
                                      <w:marBottom w:val="0"/>
                                      <w:divBdr>
                                        <w:top w:val="none" w:sz="0" w:space="0" w:color="auto"/>
                                        <w:left w:val="none" w:sz="0" w:space="0" w:color="auto"/>
                                        <w:bottom w:val="none" w:sz="0" w:space="0" w:color="auto"/>
                                        <w:right w:val="none" w:sz="0" w:space="0" w:color="auto"/>
                                      </w:divBdr>
                                    </w:div>
                                    <w:div w:id="846556459">
                                      <w:marLeft w:val="0"/>
                                      <w:marRight w:val="0"/>
                                      <w:marTop w:val="0"/>
                                      <w:marBottom w:val="0"/>
                                      <w:divBdr>
                                        <w:top w:val="none" w:sz="0" w:space="0" w:color="auto"/>
                                        <w:left w:val="none" w:sz="0" w:space="0" w:color="auto"/>
                                        <w:bottom w:val="none" w:sz="0" w:space="0" w:color="auto"/>
                                        <w:right w:val="none" w:sz="0" w:space="0" w:color="auto"/>
                                      </w:divBdr>
                                      <w:divsChild>
                                        <w:div w:id="936985362">
                                          <w:marLeft w:val="0"/>
                                          <w:marRight w:val="0"/>
                                          <w:marTop w:val="0"/>
                                          <w:marBottom w:val="0"/>
                                          <w:divBdr>
                                            <w:top w:val="none" w:sz="0" w:space="0" w:color="auto"/>
                                            <w:left w:val="none" w:sz="0" w:space="0" w:color="auto"/>
                                            <w:bottom w:val="none" w:sz="0" w:space="0" w:color="auto"/>
                                            <w:right w:val="none" w:sz="0" w:space="0" w:color="auto"/>
                                          </w:divBdr>
                                          <w:divsChild>
                                            <w:div w:id="1630936256">
                                              <w:marLeft w:val="0"/>
                                              <w:marRight w:val="0"/>
                                              <w:marTop w:val="0"/>
                                              <w:marBottom w:val="0"/>
                                              <w:divBdr>
                                                <w:top w:val="none" w:sz="0" w:space="0" w:color="auto"/>
                                                <w:left w:val="none" w:sz="0" w:space="0" w:color="auto"/>
                                                <w:bottom w:val="none" w:sz="0" w:space="0" w:color="auto"/>
                                                <w:right w:val="none" w:sz="0" w:space="0" w:color="auto"/>
                                              </w:divBdr>
                                            </w:div>
                                            <w:div w:id="2103334756">
                                              <w:marLeft w:val="0"/>
                                              <w:marRight w:val="0"/>
                                              <w:marTop w:val="0"/>
                                              <w:marBottom w:val="0"/>
                                              <w:divBdr>
                                                <w:top w:val="none" w:sz="0" w:space="0" w:color="auto"/>
                                                <w:left w:val="none" w:sz="0" w:space="0" w:color="auto"/>
                                                <w:bottom w:val="none" w:sz="0" w:space="0" w:color="auto"/>
                                                <w:right w:val="none" w:sz="0" w:space="0" w:color="auto"/>
                                              </w:divBdr>
                                            </w:div>
                                            <w:div w:id="775905758">
                                              <w:marLeft w:val="0"/>
                                              <w:marRight w:val="0"/>
                                              <w:marTop w:val="0"/>
                                              <w:marBottom w:val="0"/>
                                              <w:divBdr>
                                                <w:top w:val="none" w:sz="0" w:space="0" w:color="auto"/>
                                                <w:left w:val="none" w:sz="0" w:space="0" w:color="auto"/>
                                                <w:bottom w:val="none" w:sz="0" w:space="0" w:color="auto"/>
                                                <w:right w:val="none" w:sz="0" w:space="0" w:color="auto"/>
                                              </w:divBdr>
                                            </w:div>
                                            <w:div w:id="822090109">
                                              <w:marLeft w:val="0"/>
                                              <w:marRight w:val="0"/>
                                              <w:marTop w:val="0"/>
                                              <w:marBottom w:val="0"/>
                                              <w:divBdr>
                                                <w:top w:val="none" w:sz="0" w:space="0" w:color="auto"/>
                                                <w:left w:val="none" w:sz="0" w:space="0" w:color="auto"/>
                                                <w:bottom w:val="none" w:sz="0" w:space="0" w:color="auto"/>
                                                <w:right w:val="none" w:sz="0" w:space="0" w:color="auto"/>
                                              </w:divBdr>
                                            </w:div>
                                            <w:div w:id="1410926600">
                                              <w:marLeft w:val="0"/>
                                              <w:marRight w:val="0"/>
                                              <w:marTop w:val="0"/>
                                              <w:marBottom w:val="0"/>
                                              <w:divBdr>
                                                <w:top w:val="none" w:sz="0" w:space="0" w:color="auto"/>
                                                <w:left w:val="none" w:sz="0" w:space="0" w:color="auto"/>
                                                <w:bottom w:val="none" w:sz="0" w:space="0" w:color="auto"/>
                                                <w:right w:val="none" w:sz="0" w:space="0" w:color="auto"/>
                                              </w:divBdr>
                                            </w:div>
                                            <w:div w:id="68374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3874310">
          <w:marLeft w:val="0"/>
          <w:marRight w:val="0"/>
          <w:marTop w:val="0"/>
          <w:marBottom w:val="0"/>
          <w:divBdr>
            <w:top w:val="none" w:sz="0" w:space="0" w:color="auto"/>
            <w:left w:val="none" w:sz="0" w:space="0" w:color="auto"/>
            <w:bottom w:val="none" w:sz="0" w:space="0" w:color="auto"/>
            <w:right w:val="none" w:sz="0" w:space="0" w:color="auto"/>
          </w:divBdr>
          <w:divsChild>
            <w:div w:id="1426147893">
              <w:marLeft w:val="0"/>
              <w:marRight w:val="0"/>
              <w:marTop w:val="0"/>
              <w:marBottom w:val="0"/>
              <w:divBdr>
                <w:top w:val="none" w:sz="0" w:space="0" w:color="auto"/>
                <w:left w:val="none" w:sz="0" w:space="0" w:color="auto"/>
                <w:bottom w:val="none" w:sz="0" w:space="0" w:color="auto"/>
                <w:right w:val="none" w:sz="0" w:space="0" w:color="auto"/>
              </w:divBdr>
              <w:divsChild>
                <w:div w:id="927151990">
                  <w:marLeft w:val="0"/>
                  <w:marRight w:val="0"/>
                  <w:marTop w:val="0"/>
                  <w:marBottom w:val="0"/>
                  <w:divBdr>
                    <w:top w:val="none" w:sz="0" w:space="0" w:color="auto"/>
                    <w:left w:val="none" w:sz="0" w:space="0" w:color="auto"/>
                    <w:bottom w:val="none" w:sz="0" w:space="0" w:color="auto"/>
                    <w:right w:val="none" w:sz="0" w:space="0" w:color="auto"/>
                  </w:divBdr>
                  <w:divsChild>
                    <w:div w:id="2076851352">
                      <w:marLeft w:val="0"/>
                      <w:marRight w:val="0"/>
                      <w:marTop w:val="0"/>
                      <w:marBottom w:val="0"/>
                      <w:divBdr>
                        <w:top w:val="none" w:sz="0" w:space="0" w:color="auto"/>
                        <w:left w:val="none" w:sz="0" w:space="0" w:color="auto"/>
                        <w:bottom w:val="none" w:sz="0" w:space="0" w:color="auto"/>
                        <w:right w:val="none" w:sz="0" w:space="0" w:color="auto"/>
                      </w:divBdr>
                      <w:divsChild>
                        <w:div w:id="1431390316">
                          <w:marLeft w:val="0"/>
                          <w:marRight w:val="0"/>
                          <w:marTop w:val="0"/>
                          <w:marBottom w:val="0"/>
                          <w:divBdr>
                            <w:top w:val="none" w:sz="0" w:space="0" w:color="auto"/>
                            <w:left w:val="none" w:sz="0" w:space="0" w:color="auto"/>
                            <w:bottom w:val="none" w:sz="0" w:space="0" w:color="auto"/>
                            <w:right w:val="none" w:sz="0" w:space="0" w:color="auto"/>
                          </w:divBdr>
                          <w:divsChild>
                            <w:div w:id="2067415117">
                              <w:marLeft w:val="0"/>
                              <w:marRight w:val="0"/>
                              <w:marTop w:val="0"/>
                              <w:marBottom w:val="0"/>
                              <w:divBdr>
                                <w:top w:val="none" w:sz="0" w:space="0" w:color="auto"/>
                                <w:left w:val="none" w:sz="0" w:space="0" w:color="auto"/>
                                <w:bottom w:val="none" w:sz="0" w:space="0" w:color="auto"/>
                                <w:right w:val="none" w:sz="0" w:space="0" w:color="auto"/>
                              </w:divBdr>
                              <w:divsChild>
                                <w:div w:id="158787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787994">
                  <w:marLeft w:val="0"/>
                  <w:marRight w:val="0"/>
                  <w:marTop w:val="0"/>
                  <w:marBottom w:val="0"/>
                  <w:divBdr>
                    <w:top w:val="none" w:sz="0" w:space="0" w:color="auto"/>
                    <w:left w:val="none" w:sz="0" w:space="0" w:color="auto"/>
                    <w:bottom w:val="none" w:sz="0" w:space="0" w:color="auto"/>
                    <w:right w:val="none" w:sz="0" w:space="0" w:color="auto"/>
                  </w:divBdr>
                  <w:divsChild>
                    <w:div w:id="1032682618">
                      <w:marLeft w:val="0"/>
                      <w:marRight w:val="0"/>
                      <w:marTop w:val="0"/>
                      <w:marBottom w:val="0"/>
                      <w:divBdr>
                        <w:top w:val="none" w:sz="0" w:space="0" w:color="auto"/>
                        <w:left w:val="none" w:sz="0" w:space="0" w:color="auto"/>
                        <w:bottom w:val="none" w:sz="0" w:space="0" w:color="auto"/>
                        <w:right w:val="none" w:sz="0" w:space="0" w:color="auto"/>
                      </w:divBdr>
                      <w:divsChild>
                        <w:div w:id="321201123">
                          <w:marLeft w:val="0"/>
                          <w:marRight w:val="0"/>
                          <w:marTop w:val="0"/>
                          <w:marBottom w:val="0"/>
                          <w:divBdr>
                            <w:top w:val="none" w:sz="0" w:space="0" w:color="auto"/>
                            <w:left w:val="none" w:sz="0" w:space="0" w:color="auto"/>
                            <w:bottom w:val="none" w:sz="0" w:space="0" w:color="auto"/>
                            <w:right w:val="none" w:sz="0" w:space="0" w:color="auto"/>
                          </w:divBdr>
                          <w:divsChild>
                            <w:div w:id="1534148343">
                              <w:marLeft w:val="0"/>
                              <w:marRight w:val="0"/>
                              <w:marTop w:val="0"/>
                              <w:marBottom w:val="0"/>
                              <w:divBdr>
                                <w:top w:val="none" w:sz="0" w:space="0" w:color="auto"/>
                                <w:left w:val="none" w:sz="0" w:space="0" w:color="auto"/>
                                <w:bottom w:val="none" w:sz="0" w:space="0" w:color="auto"/>
                                <w:right w:val="none" w:sz="0" w:space="0" w:color="auto"/>
                              </w:divBdr>
                              <w:divsChild>
                                <w:div w:id="450630548">
                                  <w:marLeft w:val="0"/>
                                  <w:marRight w:val="0"/>
                                  <w:marTop w:val="0"/>
                                  <w:marBottom w:val="0"/>
                                  <w:divBdr>
                                    <w:top w:val="none" w:sz="0" w:space="0" w:color="auto"/>
                                    <w:left w:val="none" w:sz="0" w:space="0" w:color="auto"/>
                                    <w:bottom w:val="none" w:sz="0" w:space="0" w:color="auto"/>
                                    <w:right w:val="none" w:sz="0" w:space="0" w:color="auto"/>
                                  </w:divBdr>
                                </w:div>
                                <w:div w:id="1817409934">
                                  <w:marLeft w:val="0"/>
                                  <w:marRight w:val="0"/>
                                  <w:marTop w:val="0"/>
                                  <w:marBottom w:val="0"/>
                                  <w:divBdr>
                                    <w:top w:val="none" w:sz="0" w:space="0" w:color="auto"/>
                                    <w:left w:val="none" w:sz="0" w:space="0" w:color="auto"/>
                                    <w:bottom w:val="none" w:sz="0" w:space="0" w:color="auto"/>
                                    <w:right w:val="none" w:sz="0" w:space="0" w:color="auto"/>
                                  </w:divBdr>
                                  <w:divsChild>
                                    <w:div w:id="1589268819">
                                      <w:marLeft w:val="0"/>
                                      <w:marRight w:val="0"/>
                                      <w:marTop w:val="0"/>
                                      <w:marBottom w:val="0"/>
                                      <w:divBdr>
                                        <w:top w:val="none" w:sz="0" w:space="0" w:color="auto"/>
                                        <w:left w:val="none" w:sz="0" w:space="0" w:color="auto"/>
                                        <w:bottom w:val="none" w:sz="0" w:space="0" w:color="auto"/>
                                        <w:right w:val="none" w:sz="0" w:space="0" w:color="auto"/>
                                      </w:divBdr>
                                      <w:divsChild>
                                        <w:div w:id="1760515931">
                                          <w:marLeft w:val="0"/>
                                          <w:marRight w:val="0"/>
                                          <w:marTop w:val="0"/>
                                          <w:marBottom w:val="0"/>
                                          <w:divBdr>
                                            <w:top w:val="none" w:sz="0" w:space="0" w:color="auto"/>
                                            <w:left w:val="none" w:sz="0" w:space="0" w:color="auto"/>
                                            <w:bottom w:val="none" w:sz="0" w:space="0" w:color="auto"/>
                                            <w:right w:val="none" w:sz="0" w:space="0" w:color="auto"/>
                                          </w:divBdr>
                                          <w:divsChild>
                                            <w:div w:id="627008208">
                                              <w:marLeft w:val="0"/>
                                              <w:marRight w:val="0"/>
                                              <w:marTop w:val="0"/>
                                              <w:marBottom w:val="0"/>
                                              <w:divBdr>
                                                <w:top w:val="none" w:sz="0" w:space="0" w:color="auto"/>
                                                <w:left w:val="none" w:sz="0" w:space="0" w:color="auto"/>
                                                <w:bottom w:val="none" w:sz="0" w:space="0" w:color="auto"/>
                                                <w:right w:val="none" w:sz="0" w:space="0" w:color="auto"/>
                                              </w:divBdr>
                                              <w:divsChild>
                                                <w:div w:id="799303915">
                                                  <w:marLeft w:val="0"/>
                                                  <w:marRight w:val="0"/>
                                                  <w:marTop w:val="0"/>
                                                  <w:marBottom w:val="0"/>
                                                  <w:divBdr>
                                                    <w:top w:val="none" w:sz="0" w:space="0" w:color="auto"/>
                                                    <w:left w:val="none" w:sz="0" w:space="0" w:color="auto"/>
                                                    <w:bottom w:val="none" w:sz="0" w:space="0" w:color="auto"/>
                                                    <w:right w:val="none" w:sz="0" w:space="0" w:color="auto"/>
                                                  </w:divBdr>
                                                  <w:divsChild>
                                                    <w:div w:id="64183697">
                                                      <w:marLeft w:val="0"/>
                                                      <w:marRight w:val="0"/>
                                                      <w:marTop w:val="0"/>
                                                      <w:marBottom w:val="0"/>
                                                      <w:divBdr>
                                                        <w:top w:val="none" w:sz="0" w:space="0" w:color="auto"/>
                                                        <w:left w:val="none" w:sz="0" w:space="0" w:color="auto"/>
                                                        <w:bottom w:val="none" w:sz="0" w:space="0" w:color="auto"/>
                                                        <w:right w:val="none" w:sz="0" w:space="0" w:color="auto"/>
                                                      </w:divBdr>
                                                      <w:divsChild>
                                                        <w:div w:id="646932654">
                                                          <w:marLeft w:val="0"/>
                                                          <w:marRight w:val="0"/>
                                                          <w:marTop w:val="0"/>
                                                          <w:marBottom w:val="0"/>
                                                          <w:divBdr>
                                                            <w:top w:val="none" w:sz="0" w:space="0" w:color="auto"/>
                                                            <w:left w:val="none" w:sz="0" w:space="0" w:color="auto"/>
                                                            <w:bottom w:val="none" w:sz="0" w:space="0" w:color="auto"/>
                                                            <w:right w:val="none" w:sz="0" w:space="0" w:color="auto"/>
                                                          </w:divBdr>
                                                          <w:divsChild>
                                                            <w:div w:id="12459648">
                                                              <w:marLeft w:val="0"/>
                                                              <w:marRight w:val="0"/>
                                                              <w:marTop w:val="0"/>
                                                              <w:marBottom w:val="0"/>
                                                              <w:divBdr>
                                                                <w:top w:val="none" w:sz="0" w:space="0" w:color="auto"/>
                                                                <w:left w:val="none" w:sz="0" w:space="0" w:color="auto"/>
                                                                <w:bottom w:val="none" w:sz="0" w:space="0" w:color="auto"/>
                                                                <w:right w:val="none" w:sz="0" w:space="0" w:color="auto"/>
                                                              </w:divBdr>
                                                              <w:divsChild>
                                                                <w:div w:id="2132236751">
                                                                  <w:marLeft w:val="0"/>
                                                                  <w:marRight w:val="0"/>
                                                                  <w:marTop w:val="0"/>
                                                                  <w:marBottom w:val="0"/>
                                                                  <w:divBdr>
                                                                    <w:top w:val="none" w:sz="0" w:space="0" w:color="auto"/>
                                                                    <w:left w:val="none" w:sz="0" w:space="0" w:color="auto"/>
                                                                    <w:bottom w:val="none" w:sz="0" w:space="0" w:color="auto"/>
                                                                    <w:right w:val="none" w:sz="0" w:space="0" w:color="auto"/>
                                                                  </w:divBdr>
                                                                  <w:divsChild>
                                                                    <w:div w:id="37584237">
                                                                      <w:marLeft w:val="0"/>
                                                                      <w:marRight w:val="0"/>
                                                                      <w:marTop w:val="0"/>
                                                                      <w:marBottom w:val="0"/>
                                                                      <w:divBdr>
                                                                        <w:top w:val="none" w:sz="0" w:space="0" w:color="auto"/>
                                                                        <w:left w:val="none" w:sz="0" w:space="0" w:color="auto"/>
                                                                        <w:bottom w:val="none" w:sz="0" w:space="0" w:color="auto"/>
                                                                        <w:right w:val="none" w:sz="0" w:space="0" w:color="auto"/>
                                                                      </w:divBdr>
                                                                      <w:divsChild>
                                                                        <w:div w:id="1420178572">
                                                                          <w:marLeft w:val="0"/>
                                                                          <w:marRight w:val="0"/>
                                                                          <w:marTop w:val="0"/>
                                                                          <w:marBottom w:val="0"/>
                                                                          <w:divBdr>
                                                                            <w:top w:val="none" w:sz="0" w:space="0" w:color="auto"/>
                                                                            <w:left w:val="none" w:sz="0" w:space="0" w:color="auto"/>
                                                                            <w:bottom w:val="none" w:sz="0" w:space="0" w:color="auto"/>
                                                                            <w:right w:val="none" w:sz="0" w:space="0" w:color="auto"/>
                                                                          </w:divBdr>
                                                                          <w:divsChild>
                                                                            <w:div w:id="1451628888">
                                                                              <w:marLeft w:val="0"/>
                                                                              <w:marRight w:val="0"/>
                                                                              <w:marTop w:val="0"/>
                                                                              <w:marBottom w:val="0"/>
                                                                              <w:divBdr>
                                                                                <w:top w:val="none" w:sz="0" w:space="0" w:color="auto"/>
                                                                                <w:left w:val="none" w:sz="0" w:space="0" w:color="auto"/>
                                                                                <w:bottom w:val="none" w:sz="0" w:space="0" w:color="auto"/>
                                                                                <w:right w:val="none" w:sz="0" w:space="0" w:color="auto"/>
                                                                              </w:divBdr>
                                                                              <w:divsChild>
                                                                                <w:div w:id="7029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3410331">
      <w:bodyDiv w:val="1"/>
      <w:marLeft w:val="0"/>
      <w:marRight w:val="0"/>
      <w:marTop w:val="0"/>
      <w:marBottom w:val="0"/>
      <w:divBdr>
        <w:top w:val="none" w:sz="0" w:space="0" w:color="auto"/>
        <w:left w:val="none" w:sz="0" w:space="0" w:color="auto"/>
        <w:bottom w:val="none" w:sz="0" w:space="0" w:color="auto"/>
        <w:right w:val="none" w:sz="0" w:space="0" w:color="auto"/>
      </w:divBdr>
      <w:divsChild>
        <w:div w:id="374813697">
          <w:marLeft w:val="0"/>
          <w:marRight w:val="0"/>
          <w:marTop w:val="0"/>
          <w:marBottom w:val="0"/>
          <w:divBdr>
            <w:top w:val="none" w:sz="0" w:space="0" w:color="auto"/>
            <w:left w:val="none" w:sz="0" w:space="0" w:color="auto"/>
            <w:bottom w:val="none" w:sz="0" w:space="0" w:color="auto"/>
            <w:right w:val="none" w:sz="0" w:space="0" w:color="auto"/>
          </w:divBdr>
          <w:divsChild>
            <w:div w:id="1634630191">
              <w:marLeft w:val="0"/>
              <w:marRight w:val="0"/>
              <w:marTop w:val="0"/>
              <w:marBottom w:val="0"/>
              <w:divBdr>
                <w:top w:val="none" w:sz="0" w:space="0" w:color="auto"/>
                <w:left w:val="none" w:sz="0" w:space="0" w:color="auto"/>
                <w:bottom w:val="none" w:sz="0" w:space="0" w:color="auto"/>
                <w:right w:val="none" w:sz="0" w:space="0" w:color="auto"/>
              </w:divBdr>
              <w:divsChild>
                <w:div w:id="1223904851">
                  <w:marLeft w:val="0"/>
                  <w:marRight w:val="0"/>
                  <w:marTop w:val="0"/>
                  <w:marBottom w:val="0"/>
                  <w:divBdr>
                    <w:top w:val="none" w:sz="0" w:space="0" w:color="auto"/>
                    <w:left w:val="none" w:sz="0" w:space="0" w:color="auto"/>
                    <w:bottom w:val="none" w:sz="0" w:space="0" w:color="auto"/>
                    <w:right w:val="none" w:sz="0" w:space="0" w:color="auto"/>
                  </w:divBdr>
                  <w:divsChild>
                    <w:div w:id="212298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998687">
      <w:bodyDiv w:val="1"/>
      <w:marLeft w:val="0"/>
      <w:marRight w:val="0"/>
      <w:marTop w:val="0"/>
      <w:marBottom w:val="0"/>
      <w:divBdr>
        <w:top w:val="none" w:sz="0" w:space="0" w:color="auto"/>
        <w:left w:val="none" w:sz="0" w:space="0" w:color="auto"/>
        <w:bottom w:val="none" w:sz="0" w:space="0" w:color="auto"/>
        <w:right w:val="none" w:sz="0" w:space="0" w:color="auto"/>
      </w:divBdr>
      <w:divsChild>
        <w:div w:id="49619945">
          <w:marLeft w:val="0"/>
          <w:marRight w:val="0"/>
          <w:marTop w:val="0"/>
          <w:marBottom w:val="0"/>
          <w:divBdr>
            <w:top w:val="none" w:sz="0" w:space="0" w:color="auto"/>
            <w:left w:val="none" w:sz="0" w:space="0" w:color="auto"/>
            <w:bottom w:val="none" w:sz="0" w:space="0" w:color="auto"/>
            <w:right w:val="none" w:sz="0" w:space="0" w:color="auto"/>
          </w:divBdr>
          <w:divsChild>
            <w:div w:id="1132165922">
              <w:marLeft w:val="0"/>
              <w:marRight w:val="0"/>
              <w:marTop w:val="0"/>
              <w:marBottom w:val="0"/>
              <w:divBdr>
                <w:top w:val="none" w:sz="0" w:space="0" w:color="auto"/>
                <w:left w:val="none" w:sz="0" w:space="0" w:color="auto"/>
                <w:bottom w:val="none" w:sz="0" w:space="0" w:color="auto"/>
                <w:right w:val="none" w:sz="0" w:space="0" w:color="auto"/>
              </w:divBdr>
              <w:divsChild>
                <w:div w:id="84556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13154">
      <w:bodyDiv w:val="1"/>
      <w:marLeft w:val="0"/>
      <w:marRight w:val="0"/>
      <w:marTop w:val="0"/>
      <w:marBottom w:val="0"/>
      <w:divBdr>
        <w:top w:val="none" w:sz="0" w:space="0" w:color="auto"/>
        <w:left w:val="none" w:sz="0" w:space="0" w:color="auto"/>
        <w:bottom w:val="none" w:sz="0" w:space="0" w:color="auto"/>
        <w:right w:val="none" w:sz="0" w:space="0" w:color="auto"/>
      </w:divBdr>
    </w:div>
    <w:div w:id="781924503">
      <w:bodyDiv w:val="1"/>
      <w:marLeft w:val="0"/>
      <w:marRight w:val="0"/>
      <w:marTop w:val="0"/>
      <w:marBottom w:val="0"/>
      <w:divBdr>
        <w:top w:val="none" w:sz="0" w:space="0" w:color="auto"/>
        <w:left w:val="none" w:sz="0" w:space="0" w:color="auto"/>
        <w:bottom w:val="none" w:sz="0" w:space="0" w:color="auto"/>
        <w:right w:val="none" w:sz="0" w:space="0" w:color="auto"/>
      </w:divBdr>
      <w:divsChild>
        <w:div w:id="989478649">
          <w:marLeft w:val="0"/>
          <w:marRight w:val="0"/>
          <w:marTop w:val="0"/>
          <w:marBottom w:val="0"/>
          <w:divBdr>
            <w:top w:val="none" w:sz="0" w:space="0" w:color="auto"/>
            <w:left w:val="none" w:sz="0" w:space="0" w:color="auto"/>
            <w:bottom w:val="none" w:sz="0" w:space="0" w:color="auto"/>
            <w:right w:val="none" w:sz="0" w:space="0" w:color="auto"/>
          </w:divBdr>
          <w:divsChild>
            <w:div w:id="711031544">
              <w:marLeft w:val="0"/>
              <w:marRight w:val="0"/>
              <w:marTop w:val="0"/>
              <w:marBottom w:val="0"/>
              <w:divBdr>
                <w:top w:val="none" w:sz="0" w:space="0" w:color="auto"/>
                <w:left w:val="none" w:sz="0" w:space="0" w:color="auto"/>
                <w:bottom w:val="none" w:sz="0" w:space="0" w:color="auto"/>
                <w:right w:val="none" w:sz="0" w:space="0" w:color="auto"/>
              </w:divBdr>
              <w:divsChild>
                <w:div w:id="382561852">
                  <w:marLeft w:val="0"/>
                  <w:marRight w:val="0"/>
                  <w:marTop w:val="0"/>
                  <w:marBottom w:val="0"/>
                  <w:divBdr>
                    <w:top w:val="none" w:sz="0" w:space="0" w:color="auto"/>
                    <w:left w:val="none" w:sz="0" w:space="0" w:color="auto"/>
                    <w:bottom w:val="none" w:sz="0" w:space="0" w:color="auto"/>
                    <w:right w:val="none" w:sz="0" w:space="0" w:color="auto"/>
                  </w:divBdr>
                  <w:divsChild>
                    <w:div w:id="568149648">
                      <w:marLeft w:val="0"/>
                      <w:marRight w:val="0"/>
                      <w:marTop w:val="0"/>
                      <w:marBottom w:val="0"/>
                      <w:divBdr>
                        <w:top w:val="none" w:sz="0" w:space="0" w:color="auto"/>
                        <w:left w:val="none" w:sz="0" w:space="0" w:color="auto"/>
                        <w:bottom w:val="none" w:sz="0" w:space="0" w:color="auto"/>
                        <w:right w:val="none" w:sz="0" w:space="0" w:color="auto"/>
                      </w:divBdr>
                      <w:divsChild>
                        <w:div w:id="1978487931">
                          <w:marLeft w:val="0"/>
                          <w:marRight w:val="0"/>
                          <w:marTop w:val="0"/>
                          <w:marBottom w:val="0"/>
                          <w:divBdr>
                            <w:top w:val="none" w:sz="0" w:space="0" w:color="auto"/>
                            <w:left w:val="none" w:sz="0" w:space="0" w:color="auto"/>
                            <w:bottom w:val="none" w:sz="0" w:space="0" w:color="auto"/>
                            <w:right w:val="none" w:sz="0" w:space="0" w:color="auto"/>
                          </w:divBdr>
                          <w:divsChild>
                            <w:div w:id="2036802912">
                              <w:marLeft w:val="0"/>
                              <w:marRight w:val="0"/>
                              <w:marTop w:val="0"/>
                              <w:marBottom w:val="0"/>
                              <w:divBdr>
                                <w:top w:val="none" w:sz="0" w:space="0" w:color="auto"/>
                                <w:left w:val="none" w:sz="0" w:space="0" w:color="auto"/>
                                <w:bottom w:val="none" w:sz="0" w:space="0" w:color="auto"/>
                                <w:right w:val="none" w:sz="0" w:space="0" w:color="auto"/>
                              </w:divBdr>
                              <w:divsChild>
                                <w:div w:id="2052873963">
                                  <w:marLeft w:val="0"/>
                                  <w:marRight w:val="0"/>
                                  <w:marTop w:val="0"/>
                                  <w:marBottom w:val="0"/>
                                  <w:divBdr>
                                    <w:top w:val="none" w:sz="0" w:space="0" w:color="auto"/>
                                    <w:left w:val="none" w:sz="0" w:space="0" w:color="auto"/>
                                    <w:bottom w:val="none" w:sz="0" w:space="0" w:color="auto"/>
                                    <w:right w:val="none" w:sz="0" w:space="0" w:color="auto"/>
                                  </w:divBdr>
                                  <w:divsChild>
                                    <w:div w:id="1007169801">
                                      <w:marLeft w:val="0"/>
                                      <w:marRight w:val="0"/>
                                      <w:marTop w:val="0"/>
                                      <w:marBottom w:val="0"/>
                                      <w:divBdr>
                                        <w:top w:val="none" w:sz="0" w:space="0" w:color="auto"/>
                                        <w:left w:val="none" w:sz="0" w:space="0" w:color="auto"/>
                                        <w:bottom w:val="none" w:sz="0" w:space="0" w:color="auto"/>
                                        <w:right w:val="none" w:sz="0" w:space="0" w:color="auto"/>
                                      </w:divBdr>
                                    </w:div>
                                    <w:div w:id="121654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701115">
                  <w:marLeft w:val="0"/>
                  <w:marRight w:val="0"/>
                  <w:marTop w:val="0"/>
                  <w:marBottom w:val="0"/>
                  <w:divBdr>
                    <w:top w:val="none" w:sz="0" w:space="0" w:color="auto"/>
                    <w:left w:val="none" w:sz="0" w:space="0" w:color="auto"/>
                    <w:bottom w:val="none" w:sz="0" w:space="0" w:color="auto"/>
                    <w:right w:val="none" w:sz="0" w:space="0" w:color="auto"/>
                  </w:divBdr>
                  <w:divsChild>
                    <w:div w:id="940452767">
                      <w:marLeft w:val="0"/>
                      <w:marRight w:val="0"/>
                      <w:marTop w:val="0"/>
                      <w:marBottom w:val="0"/>
                      <w:divBdr>
                        <w:top w:val="none" w:sz="0" w:space="0" w:color="auto"/>
                        <w:left w:val="none" w:sz="0" w:space="0" w:color="auto"/>
                        <w:bottom w:val="none" w:sz="0" w:space="0" w:color="auto"/>
                        <w:right w:val="none" w:sz="0" w:space="0" w:color="auto"/>
                      </w:divBdr>
                      <w:divsChild>
                        <w:div w:id="1649482719">
                          <w:marLeft w:val="0"/>
                          <w:marRight w:val="0"/>
                          <w:marTop w:val="0"/>
                          <w:marBottom w:val="0"/>
                          <w:divBdr>
                            <w:top w:val="none" w:sz="0" w:space="0" w:color="auto"/>
                            <w:left w:val="none" w:sz="0" w:space="0" w:color="auto"/>
                            <w:bottom w:val="none" w:sz="0" w:space="0" w:color="auto"/>
                            <w:right w:val="none" w:sz="0" w:space="0" w:color="auto"/>
                          </w:divBdr>
                          <w:divsChild>
                            <w:div w:id="606428980">
                              <w:marLeft w:val="0"/>
                              <w:marRight w:val="0"/>
                              <w:marTop w:val="0"/>
                              <w:marBottom w:val="0"/>
                              <w:divBdr>
                                <w:top w:val="none" w:sz="0" w:space="0" w:color="auto"/>
                                <w:left w:val="none" w:sz="0" w:space="0" w:color="auto"/>
                                <w:bottom w:val="none" w:sz="0" w:space="0" w:color="auto"/>
                                <w:right w:val="none" w:sz="0" w:space="0" w:color="auto"/>
                              </w:divBdr>
                              <w:divsChild>
                                <w:div w:id="1661494096">
                                  <w:marLeft w:val="0"/>
                                  <w:marRight w:val="0"/>
                                  <w:marTop w:val="0"/>
                                  <w:marBottom w:val="0"/>
                                  <w:divBdr>
                                    <w:top w:val="none" w:sz="0" w:space="0" w:color="auto"/>
                                    <w:left w:val="none" w:sz="0" w:space="0" w:color="auto"/>
                                    <w:bottom w:val="none" w:sz="0" w:space="0" w:color="auto"/>
                                    <w:right w:val="none" w:sz="0" w:space="0" w:color="auto"/>
                                  </w:divBdr>
                                  <w:divsChild>
                                    <w:div w:id="727414181">
                                      <w:marLeft w:val="0"/>
                                      <w:marRight w:val="0"/>
                                      <w:marTop w:val="0"/>
                                      <w:marBottom w:val="0"/>
                                      <w:divBdr>
                                        <w:top w:val="none" w:sz="0" w:space="0" w:color="auto"/>
                                        <w:left w:val="none" w:sz="0" w:space="0" w:color="auto"/>
                                        <w:bottom w:val="none" w:sz="0" w:space="0" w:color="auto"/>
                                        <w:right w:val="none" w:sz="0" w:space="0" w:color="auto"/>
                                      </w:divBdr>
                                    </w:div>
                                    <w:div w:id="261256429">
                                      <w:marLeft w:val="0"/>
                                      <w:marRight w:val="0"/>
                                      <w:marTop w:val="0"/>
                                      <w:marBottom w:val="0"/>
                                      <w:divBdr>
                                        <w:top w:val="none" w:sz="0" w:space="0" w:color="auto"/>
                                        <w:left w:val="none" w:sz="0" w:space="0" w:color="auto"/>
                                        <w:bottom w:val="none" w:sz="0" w:space="0" w:color="auto"/>
                                        <w:right w:val="none" w:sz="0" w:space="0" w:color="auto"/>
                                      </w:divBdr>
                                      <w:divsChild>
                                        <w:div w:id="1177109823">
                                          <w:marLeft w:val="0"/>
                                          <w:marRight w:val="0"/>
                                          <w:marTop w:val="0"/>
                                          <w:marBottom w:val="0"/>
                                          <w:divBdr>
                                            <w:top w:val="none" w:sz="0" w:space="0" w:color="auto"/>
                                            <w:left w:val="none" w:sz="0" w:space="0" w:color="auto"/>
                                            <w:bottom w:val="none" w:sz="0" w:space="0" w:color="auto"/>
                                            <w:right w:val="none" w:sz="0" w:space="0" w:color="auto"/>
                                          </w:divBdr>
                                          <w:divsChild>
                                            <w:div w:id="1890221030">
                                              <w:marLeft w:val="0"/>
                                              <w:marRight w:val="0"/>
                                              <w:marTop w:val="0"/>
                                              <w:marBottom w:val="0"/>
                                              <w:divBdr>
                                                <w:top w:val="none" w:sz="0" w:space="0" w:color="auto"/>
                                                <w:left w:val="none" w:sz="0" w:space="0" w:color="auto"/>
                                                <w:bottom w:val="none" w:sz="0" w:space="0" w:color="auto"/>
                                                <w:right w:val="none" w:sz="0" w:space="0" w:color="auto"/>
                                              </w:divBdr>
                                            </w:div>
                                            <w:div w:id="1527450072">
                                              <w:marLeft w:val="0"/>
                                              <w:marRight w:val="0"/>
                                              <w:marTop w:val="0"/>
                                              <w:marBottom w:val="0"/>
                                              <w:divBdr>
                                                <w:top w:val="none" w:sz="0" w:space="0" w:color="auto"/>
                                                <w:left w:val="none" w:sz="0" w:space="0" w:color="auto"/>
                                                <w:bottom w:val="none" w:sz="0" w:space="0" w:color="auto"/>
                                                <w:right w:val="none" w:sz="0" w:space="0" w:color="auto"/>
                                              </w:divBdr>
                                            </w:div>
                                            <w:div w:id="779422168">
                                              <w:marLeft w:val="0"/>
                                              <w:marRight w:val="0"/>
                                              <w:marTop w:val="0"/>
                                              <w:marBottom w:val="0"/>
                                              <w:divBdr>
                                                <w:top w:val="none" w:sz="0" w:space="0" w:color="auto"/>
                                                <w:left w:val="none" w:sz="0" w:space="0" w:color="auto"/>
                                                <w:bottom w:val="none" w:sz="0" w:space="0" w:color="auto"/>
                                                <w:right w:val="none" w:sz="0" w:space="0" w:color="auto"/>
                                              </w:divBdr>
                                            </w:div>
                                            <w:div w:id="474880470">
                                              <w:marLeft w:val="0"/>
                                              <w:marRight w:val="0"/>
                                              <w:marTop w:val="0"/>
                                              <w:marBottom w:val="0"/>
                                              <w:divBdr>
                                                <w:top w:val="none" w:sz="0" w:space="0" w:color="auto"/>
                                                <w:left w:val="none" w:sz="0" w:space="0" w:color="auto"/>
                                                <w:bottom w:val="none" w:sz="0" w:space="0" w:color="auto"/>
                                                <w:right w:val="none" w:sz="0" w:space="0" w:color="auto"/>
                                              </w:divBdr>
                                            </w:div>
                                            <w:div w:id="1220243268">
                                              <w:marLeft w:val="0"/>
                                              <w:marRight w:val="0"/>
                                              <w:marTop w:val="0"/>
                                              <w:marBottom w:val="0"/>
                                              <w:divBdr>
                                                <w:top w:val="none" w:sz="0" w:space="0" w:color="auto"/>
                                                <w:left w:val="none" w:sz="0" w:space="0" w:color="auto"/>
                                                <w:bottom w:val="none" w:sz="0" w:space="0" w:color="auto"/>
                                                <w:right w:val="none" w:sz="0" w:space="0" w:color="auto"/>
                                              </w:divBdr>
                                            </w:div>
                                            <w:div w:id="77197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7217380">
          <w:marLeft w:val="0"/>
          <w:marRight w:val="0"/>
          <w:marTop w:val="0"/>
          <w:marBottom w:val="0"/>
          <w:divBdr>
            <w:top w:val="none" w:sz="0" w:space="0" w:color="auto"/>
            <w:left w:val="none" w:sz="0" w:space="0" w:color="auto"/>
            <w:bottom w:val="none" w:sz="0" w:space="0" w:color="auto"/>
            <w:right w:val="none" w:sz="0" w:space="0" w:color="auto"/>
          </w:divBdr>
          <w:divsChild>
            <w:div w:id="516429294">
              <w:marLeft w:val="0"/>
              <w:marRight w:val="0"/>
              <w:marTop w:val="0"/>
              <w:marBottom w:val="0"/>
              <w:divBdr>
                <w:top w:val="none" w:sz="0" w:space="0" w:color="auto"/>
                <w:left w:val="none" w:sz="0" w:space="0" w:color="auto"/>
                <w:bottom w:val="none" w:sz="0" w:space="0" w:color="auto"/>
                <w:right w:val="none" w:sz="0" w:space="0" w:color="auto"/>
              </w:divBdr>
              <w:divsChild>
                <w:div w:id="679089022">
                  <w:marLeft w:val="0"/>
                  <w:marRight w:val="0"/>
                  <w:marTop w:val="0"/>
                  <w:marBottom w:val="0"/>
                  <w:divBdr>
                    <w:top w:val="none" w:sz="0" w:space="0" w:color="auto"/>
                    <w:left w:val="none" w:sz="0" w:space="0" w:color="auto"/>
                    <w:bottom w:val="none" w:sz="0" w:space="0" w:color="auto"/>
                    <w:right w:val="none" w:sz="0" w:space="0" w:color="auto"/>
                  </w:divBdr>
                  <w:divsChild>
                    <w:div w:id="1260912714">
                      <w:marLeft w:val="0"/>
                      <w:marRight w:val="0"/>
                      <w:marTop w:val="0"/>
                      <w:marBottom w:val="0"/>
                      <w:divBdr>
                        <w:top w:val="none" w:sz="0" w:space="0" w:color="auto"/>
                        <w:left w:val="none" w:sz="0" w:space="0" w:color="auto"/>
                        <w:bottom w:val="none" w:sz="0" w:space="0" w:color="auto"/>
                        <w:right w:val="none" w:sz="0" w:space="0" w:color="auto"/>
                      </w:divBdr>
                      <w:divsChild>
                        <w:div w:id="1933933649">
                          <w:marLeft w:val="0"/>
                          <w:marRight w:val="0"/>
                          <w:marTop w:val="0"/>
                          <w:marBottom w:val="0"/>
                          <w:divBdr>
                            <w:top w:val="none" w:sz="0" w:space="0" w:color="auto"/>
                            <w:left w:val="none" w:sz="0" w:space="0" w:color="auto"/>
                            <w:bottom w:val="none" w:sz="0" w:space="0" w:color="auto"/>
                            <w:right w:val="none" w:sz="0" w:space="0" w:color="auto"/>
                          </w:divBdr>
                          <w:divsChild>
                            <w:div w:id="734162014">
                              <w:marLeft w:val="0"/>
                              <w:marRight w:val="0"/>
                              <w:marTop w:val="0"/>
                              <w:marBottom w:val="0"/>
                              <w:divBdr>
                                <w:top w:val="none" w:sz="0" w:space="0" w:color="auto"/>
                                <w:left w:val="none" w:sz="0" w:space="0" w:color="auto"/>
                                <w:bottom w:val="none" w:sz="0" w:space="0" w:color="auto"/>
                                <w:right w:val="none" w:sz="0" w:space="0" w:color="auto"/>
                              </w:divBdr>
                              <w:divsChild>
                                <w:div w:id="33535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131485">
                  <w:marLeft w:val="0"/>
                  <w:marRight w:val="0"/>
                  <w:marTop w:val="0"/>
                  <w:marBottom w:val="0"/>
                  <w:divBdr>
                    <w:top w:val="none" w:sz="0" w:space="0" w:color="auto"/>
                    <w:left w:val="none" w:sz="0" w:space="0" w:color="auto"/>
                    <w:bottom w:val="none" w:sz="0" w:space="0" w:color="auto"/>
                    <w:right w:val="none" w:sz="0" w:space="0" w:color="auto"/>
                  </w:divBdr>
                  <w:divsChild>
                    <w:div w:id="753824232">
                      <w:marLeft w:val="0"/>
                      <w:marRight w:val="0"/>
                      <w:marTop w:val="0"/>
                      <w:marBottom w:val="0"/>
                      <w:divBdr>
                        <w:top w:val="none" w:sz="0" w:space="0" w:color="auto"/>
                        <w:left w:val="none" w:sz="0" w:space="0" w:color="auto"/>
                        <w:bottom w:val="none" w:sz="0" w:space="0" w:color="auto"/>
                        <w:right w:val="none" w:sz="0" w:space="0" w:color="auto"/>
                      </w:divBdr>
                      <w:divsChild>
                        <w:div w:id="2025665204">
                          <w:marLeft w:val="0"/>
                          <w:marRight w:val="0"/>
                          <w:marTop w:val="0"/>
                          <w:marBottom w:val="0"/>
                          <w:divBdr>
                            <w:top w:val="none" w:sz="0" w:space="0" w:color="auto"/>
                            <w:left w:val="none" w:sz="0" w:space="0" w:color="auto"/>
                            <w:bottom w:val="none" w:sz="0" w:space="0" w:color="auto"/>
                            <w:right w:val="none" w:sz="0" w:space="0" w:color="auto"/>
                          </w:divBdr>
                          <w:divsChild>
                            <w:div w:id="921177609">
                              <w:marLeft w:val="0"/>
                              <w:marRight w:val="0"/>
                              <w:marTop w:val="0"/>
                              <w:marBottom w:val="0"/>
                              <w:divBdr>
                                <w:top w:val="none" w:sz="0" w:space="0" w:color="auto"/>
                                <w:left w:val="none" w:sz="0" w:space="0" w:color="auto"/>
                                <w:bottom w:val="none" w:sz="0" w:space="0" w:color="auto"/>
                                <w:right w:val="none" w:sz="0" w:space="0" w:color="auto"/>
                              </w:divBdr>
                              <w:divsChild>
                                <w:div w:id="432676632">
                                  <w:marLeft w:val="0"/>
                                  <w:marRight w:val="0"/>
                                  <w:marTop w:val="0"/>
                                  <w:marBottom w:val="0"/>
                                  <w:divBdr>
                                    <w:top w:val="none" w:sz="0" w:space="0" w:color="auto"/>
                                    <w:left w:val="none" w:sz="0" w:space="0" w:color="auto"/>
                                    <w:bottom w:val="none" w:sz="0" w:space="0" w:color="auto"/>
                                    <w:right w:val="none" w:sz="0" w:space="0" w:color="auto"/>
                                  </w:divBdr>
                                </w:div>
                                <w:div w:id="2034189265">
                                  <w:marLeft w:val="0"/>
                                  <w:marRight w:val="0"/>
                                  <w:marTop w:val="0"/>
                                  <w:marBottom w:val="0"/>
                                  <w:divBdr>
                                    <w:top w:val="none" w:sz="0" w:space="0" w:color="auto"/>
                                    <w:left w:val="none" w:sz="0" w:space="0" w:color="auto"/>
                                    <w:bottom w:val="none" w:sz="0" w:space="0" w:color="auto"/>
                                    <w:right w:val="none" w:sz="0" w:space="0" w:color="auto"/>
                                  </w:divBdr>
                                  <w:divsChild>
                                    <w:div w:id="374088813">
                                      <w:marLeft w:val="0"/>
                                      <w:marRight w:val="0"/>
                                      <w:marTop w:val="0"/>
                                      <w:marBottom w:val="0"/>
                                      <w:divBdr>
                                        <w:top w:val="none" w:sz="0" w:space="0" w:color="auto"/>
                                        <w:left w:val="none" w:sz="0" w:space="0" w:color="auto"/>
                                        <w:bottom w:val="none" w:sz="0" w:space="0" w:color="auto"/>
                                        <w:right w:val="none" w:sz="0" w:space="0" w:color="auto"/>
                                      </w:divBdr>
                                      <w:divsChild>
                                        <w:div w:id="1495488729">
                                          <w:marLeft w:val="0"/>
                                          <w:marRight w:val="0"/>
                                          <w:marTop w:val="0"/>
                                          <w:marBottom w:val="0"/>
                                          <w:divBdr>
                                            <w:top w:val="none" w:sz="0" w:space="0" w:color="auto"/>
                                            <w:left w:val="none" w:sz="0" w:space="0" w:color="auto"/>
                                            <w:bottom w:val="none" w:sz="0" w:space="0" w:color="auto"/>
                                            <w:right w:val="none" w:sz="0" w:space="0" w:color="auto"/>
                                          </w:divBdr>
                                          <w:divsChild>
                                            <w:div w:id="857819357">
                                              <w:marLeft w:val="0"/>
                                              <w:marRight w:val="0"/>
                                              <w:marTop w:val="0"/>
                                              <w:marBottom w:val="0"/>
                                              <w:divBdr>
                                                <w:top w:val="none" w:sz="0" w:space="0" w:color="auto"/>
                                                <w:left w:val="none" w:sz="0" w:space="0" w:color="auto"/>
                                                <w:bottom w:val="none" w:sz="0" w:space="0" w:color="auto"/>
                                                <w:right w:val="none" w:sz="0" w:space="0" w:color="auto"/>
                                              </w:divBdr>
                                              <w:divsChild>
                                                <w:div w:id="174613098">
                                                  <w:marLeft w:val="0"/>
                                                  <w:marRight w:val="0"/>
                                                  <w:marTop w:val="0"/>
                                                  <w:marBottom w:val="0"/>
                                                  <w:divBdr>
                                                    <w:top w:val="none" w:sz="0" w:space="0" w:color="auto"/>
                                                    <w:left w:val="none" w:sz="0" w:space="0" w:color="auto"/>
                                                    <w:bottom w:val="none" w:sz="0" w:space="0" w:color="auto"/>
                                                    <w:right w:val="none" w:sz="0" w:space="0" w:color="auto"/>
                                                  </w:divBdr>
                                                  <w:divsChild>
                                                    <w:div w:id="1082489531">
                                                      <w:marLeft w:val="0"/>
                                                      <w:marRight w:val="0"/>
                                                      <w:marTop w:val="0"/>
                                                      <w:marBottom w:val="0"/>
                                                      <w:divBdr>
                                                        <w:top w:val="none" w:sz="0" w:space="0" w:color="auto"/>
                                                        <w:left w:val="none" w:sz="0" w:space="0" w:color="auto"/>
                                                        <w:bottom w:val="none" w:sz="0" w:space="0" w:color="auto"/>
                                                        <w:right w:val="none" w:sz="0" w:space="0" w:color="auto"/>
                                                      </w:divBdr>
                                                      <w:divsChild>
                                                        <w:div w:id="540288381">
                                                          <w:marLeft w:val="0"/>
                                                          <w:marRight w:val="0"/>
                                                          <w:marTop w:val="0"/>
                                                          <w:marBottom w:val="0"/>
                                                          <w:divBdr>
                                                            <w:top w:val="none" w:sz="0" w:space="0" w:color="auto"/>
                                                            <w:left w:val="none" w:sz="0" w:space="0" w:color="auto"/>
                                                            <w:bottom w:val="none" w:sz="0" w:space="0" w:color="auto"/>
                                                            <w:right w:val="none" w:sz="0" w:space="0" w:color="auto"/>
                                                          </w:divBdr>
                                                          <w:divsChild>
                                                            <w:div w:id="323896275">
                                                              <w:marLeft w:val="0"/>
                                                              <w:marRight w:val="0"/>
                                                              <w:marTop w:val="0"/>
                                                              <w:marBottom w:val="0"/>
                                                              <w:divBdr>
                                                                <w:top w:val="none" w:sz="0" w:space="0" w:color="auto"/>
                                                                <w:left w:val="none" w:sz="0" w:space="0" w:color="auto"/>
                                                                <w:bottom w:val="none" w:sz="0" w:space="0" w:color="auto"/>
                                                                <w:right w:val="none" w:sz="0" w:space="0" w:color="auto"/>
                                                              </w:divBdr>
                                                              <w:divsChild>
                                                                <w:div w:id="1246645300">
                                                                  <w:marLeft w:val="0"/>
                                                                  <w:marRight w:val="0"/>
                                                                  <w:marTop w:val="0"/>
                                                                  <w:marBottom w:val="0"/>
                                                                  <w:divBdr>
                                                                    <w:top w:val="none" w:sz="0" w:space="0" w:color="auto"/>
                                                                    <w:left w:val="none" w:sz="0" w:space="0" w:color="auto"/>
                                                                    <w:bottom w:val="none" w:sz="0" w:space="0" w:color="auto"/>
                                                                    <w:right w:val="none" w:sz="0" w:space="0" w:color="auto"/>
                                                                  </w:divBdr>
                                                                  <w:divsChild>
                                                                    <w:div w:id="1407071728">
                                                                      <w:marLeft w:val="0"/>
                                                                      <w:marRight w:val="0"/>
                                                                      <w:marTop w:val="0"/>
                                                                      <w:marBottom w:val="0"/>
                                                                      <w:divBdr>
                                                                        <w:top w:val="none" w:sz="0" w:space="0" w:color="auto"/>
                                                                        <w:left w:val="none" w:sz="0" w:space="0" w:color="auto"/>
                                                                        <w:bottom w:val="none" w:sz="0" w:space="0" w:color="auto"/>
                                                                        <w:right w:val="none" w:sz="0" w:space="0" w:color="auto"/>
                                                                      </w:divBdr>
                                                                      <w:divsChild>
                                                                        <w:div w:id="1434981967">
                                                                          <w:marLeft w:val="0"/>
                                                                          <w:marRight w:val="0"/>
                                                                          <w:marTop w:val="0"/>
                                                                          <w:marBottom w:val="0"/>
                                                                          <w:divBdr>
                                                                            <w:top w:val="none" w:sz="0" w:space="0" w:color="auto"/>
                                                                            <w:left w:val="none" w:sz="0" w:space="0" w:color="auto"/>
                                                                            <w:bottom w:val="none" w:sz="0" w:space="0" w:color="auto"/>
                                                                            <w:right w:val="none" w:sz="0" w:space="0" w:color="auto"/>
                                                                          </w:divBdr>
                                                                          <w:divsChild>
                                                                            <w:div w:id="1360163950">
                                                                              <w:marLeft w:val="0"/>
                                                                              <w:marRight w:val="0"/>
                                                                              <w:marTop w:val="0"/>
                                                                              <w:marBottom w:val="0"/>
                                                                              <w:divBdr>
                                                                                <w:top w:val="none" w:sz="0" w:space="0" w:color="auto"/>
                                                                                <w:left w:val="none" w:sz="0" w:space="0" w:color="auto"/>
                                                                                <w:bottom w:val="none" w:sz="0" w:space="0" w:color="auto"/>
                                                                                <w:right w:val="none" w:sz="0" w:space="0" w:color="auto"/>
                                                                              </w:divBdr>
                                                                              <w:divsChild>
                                                                                <w:div w:id="7268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046074">
      <w:bodyDiv w:val="1"/>
      <w:marLeft w:val="0"/>
      <w:marRight w:val="0"/>
      <w:marTop w:val="0"/>
      <w:marBottom w:val="0"/>
      <w:divBdr>
        <w:top w:val="none" w:sz="0" w:space="0" w:color="auto"/>
        <w:left w:val="none" w:sz="0" w:space="0" w:color="auto"/>
        <w:bottom w:val="none" w:sz="0" w:space="0" w:color="auto"/>
        <w:right w:val="none" w:sz="0" w:space="0" w:color="auto"/>
      </w:divBdr>
    </w:div>
    <w:div w:id="787436383">
      <w:bodyDiv w:val="1"/>
      <w:marLeft w:val="0"/>
      <w:marRight w:val="0"/>
      <w:marTop w:val="0"/>
      <w:marBottom w:val="0"/>
      <w:divBdr>
        <w:top w:val="none" w:sz="0" w:space="0" w:color="auto"/>
        <w:left w:val="none" w:sz="0" w:space="0" w:color="auto"/>
        <w:bottom w:val="none" w:sz="0" w:space="0" w:color="auto"/>
        <w:right w:val="none" w:sz="0" w:space="0" w:color="auto"/>
      </w:divBdr>
      <w:divsChild>
        <w:div w:id="759562473">
          <w:marLeft w:val="0"/>
          <w:marRight w:val="0"/>
          <w:marTop w:val="0"/>
          <w:marBottom w:val="0"/>
          <w:divBdr>
            <w:top w:val="none" w:sz="0" w:space="0" w:color="auto"/>
            <w:left w:val="none" w:sz="0" w:space="0" w:color="auto"/>
            <w:bottom w:val="none" w:sz="0" w:space="0" w:color="auto"/>
            <w:right w:val="none" w:sz="0" w:space="0" w:color="auto"/>
          </w:divBdr>
          <w:divsChild>
            <w:div w:id="496922166">
              <w:marLeft w:val="0"/>
              <w:marRight w:val="0"/>
              <w:marTop w:val="0"/>
              <w:marBottom w:val="0"/>
              <w:divBdr>
                <w:top w:val="none" w:sz="0" w:space="0" w:color="auto"/>
                <w:left w:val="none" w:sz="0" w:space="0" w:color="auto"/>
                <w:bottom w:val="none" w:sz="0" w:space="0" w:color="auto"/>
                <w:right w:val="none" w:sz="0" w:space="0" w:color="auto"/>
              </w:divBdr>
              <w:divsChild>
                <w:div w:id="723138194">
                  <w:marLeft w:val="0"/>
                  <w:marRight w:val="0"/>
                  <w:marTop w:val="0"/>
                  <w:marBottom w:val="0"/>
                  <w:divBdr>
                    <w:top w:val="none" w:sz="0" w:space="0" w:color="auto"/>
                    <w:left w:val="none" w:sz="0" w:space="0" w:color="auto"/>
                    <w:bottom w:val="none" w:sz="0" w:space="0" w:color="auto"/>
                    <w:right w:val="none" w:sz="0" w:space="0" w:color="auto"/>
                  </w:divBdr>
                  <w:divsChild>
                    <w:div w:id="605579202">
                      <w:marLeft w:val="0"/>
                      <w:marRight w:val="0"/>
                      <w:marTop w:val="0"/>
                      <w:marBottom w:val="0"/>
                      <w:divBdr>
                        <w:top w:val="none" w:sz="0" w:space="0" w:color="auto"/>
                        <w:left w:val="none" w:sz="0" w:space="0" w:color="auto"/>
                        <w:bottom w:val="none" w:sz="0" w:space="0" w:color="auto"/>
                        <w:right w:val="none" w:sz="0" w:space="0" w:color="auto"/>
                      </w:divBdr>
                      <w:divsChild>
                        <w:div w:id="633949464">
                          <w:marLeft w:val="0"/>
                          <w:marRight w:val="0"/>
                          <w:marTop w:val="0"/>
                          <w:marBottom w:val="0"/>
                          <w:divBdr>
                            <w:top w:val="none" w:sz="0" w:space="0" w:color="auto"/>
                            <w:left w:val="none" w:sz="0" w:space="0" w:color="auto"/>
                            <w:bottom w:val="none" w:sz="0" w:space="0" w:color="auto"/>
                            <w:right w:val="none" w:sz="0" w:space="0" w:color="auto"/>
                          </w:divBdr>
                          <w:divsChild>
                            <w:div w:id="1658877891">
                              <w:marLeft w:val="0"/>
                              <w:marRight w:val="0"/>
                              <w:marTop w:val="0"/>
                              <w:marBottom w:val="0"/>
                              <w:divBdr>
                                <w:top w:val="none" w:sz="0" w:space="0" w:color="auto"/>
                                <w:left w:val="none" w:sz="0" w:space="0" w:color="auto"/>
                                <w:bottom w:val="none" w:sz="0" w:space="0" w:color="auto"/>
                                <w:right w:val="none" w:sz="0" w:space="0" w:color="auto"/>
                              </w:divBdr>
                              <w:divsChild>
                                <w:div w:id="1384910505">
                                  <w:marLeft w:val="0"/>
                                  <w:marRight w:val="0"/>
                                  <w:marTop w:val="0"/>
                                  <w:marBottom w:val="0"/>
                                  <w:divBdr>
                                    <w:top w:val="none" w:sz="0" w:space="0" w:color="auto"/>
                                    <w:left w:val="none" w:sz="0" w:space="0" w:color="auto"/>
                                    <w:bottom w:val="none" w:sz="0" w:space="0" w:color="auto"/>
                                    <w:right w:val="none" w:sz="0" w:space="0" w:color="auto"/>
                                  </w:divBdr>
                                  <w:divsChild>
                                    <w:div w:id="1839542674">
                                      <w:marLeft w:val="0"/>
                                      <w:marRight w:val="0"/>
                                      <w:marTop w:val="0"/>
                                      <w:marBottom w:val="0"/>
                                      <w:divBdr>
                                        <w:top w:val="none" w:sz="0" w:space="0" w:color="auto"/>
                                        <w:left w:val="none" w:sz="0" w:space="0" w:color="auto"/>
                                        <w:bottom w:val="none" w:sz="0" w:space="0" w:color="auto"/>
                                        <w:right w:val="none" w:sz="0" w:space="0" w:color="auto"/>
                                      </w:divBdr>
                                      <w:divsChild>
                                        <w:div w:id="867260731">
                                          <w:marLeft w:val="0"/>
                                          <w:marRight w:val="0"/>
                                          <w:marTop w:val="0"/>
                                          <w:marBottom w:val="0"/>
                                          <w:divBdr>
                                            <w:top w:val="none" w:sz="0" w:space="0" w:color="auto"/>
                                            <w:left w:val="none" w:sz="0" w:space="0" w:color="auto"/>
                                            <w:bottom w:val="none" w:sz="0" w:space="0" w:color="auto"/>
                                            <w:right w:val="none" w:sz="0" w:space="0" w:color="auto"/>
                                          </w:divBdr>
                                          <w:divsChild>
                                            <w:div w:id="1047682248">
                                              <w:marLeft w:val="0"/>
                                              <w:marRight w:val="0"/>
                                              <w:marTop w:val="0"/>
                                              <w:marBottom w:val="0"/>
                                              <w:divBdr>
                                                <w:top w:val="none" w:sz="0" w:space="0" w:color="auto"/>
                                                <w:left w:val="none" w:sz="0" w:space="0" w:color="auto"/>
                                                <w:bottom w:val="none" w:sz="0" w:space="0" w:color="auto"/>
                                                <w:right w:val="none" w:sz="0" w:space="0" w:color="auto"/>
                                              </w:divBdr>
                                            </w:div>
                                            <w:div w:id="2085758133">
                                              <w:marLeft w:val="0"/>
                                              <w:marRight w:val="0"/>
                                              <w:marTop w:val="0"/>
                                              <w:marBottom w:val="0"/>
                                              <w:divBdr>
                                                <w:top w:val="none" w:sz="0" w:space="0" w:color="auto"/>
                                                <w:left w:val="none" w:sz="0" w:space="0" w:color="auto"/>
                                                <w:bottom w:val="none" w:sz="0" w:space="0" w:color="auto"/>
                                                <w:right w:val="none" w:sz="0" w:space="0" w:color="auto"/>
                                              </w:divBdr>
                                            </w:div>
                                            <w:div w:id="1934514567">
                                              <w:marLeft w:val="0"/>
                                              <w:marRight w:val="0"/>
                                              <w:marTop w:val="0"/>
                                              <w:marBottom w:val="0"/>
                                              <w:divBdr>
                                                <w:top w:val="none" w:sz="0" w:space="0" w:color="auto"/>
                                                <w:left w:val="none" w:sz="0" w:space="0" w:color="auto"/>
                                                <w:bottom w:val="none" w:sz="0" w:space="0" w:color="auto"/>
                                                <w:right w:val="none" w:sz="0" w:space="0" w:color="auto"/>
                                              </w:divBdr>
                                            </w:div>
                                          </w:divsChild>
                                        </w:div>
                                        <w:div w:id="554656287">
                                          <w:marLeft w:val="0"/>
                                          <w:marRight w:val="0"/>
                                          <w:marTop w:val="0"/>
                                          <w:marBottom w:val="0"/>
                                          <w:divBdr>
                                            <w:top w:val="none" w:sz="0" w:space="0" w:color="auto"/>
                                            <w:left w:val="none" w:sz="0" w:space="0" w:color="auto"/>
                                            <w:bottom w:val="none" w:sz="0" w:space="0" w:color="auto"/>
                                            <w:right w:val="none" w:sz="0" w:space="0" w:color="auto"/>
                                          </w:divBdr>
                                          <w:divsChild>
                                            <w:div w:id="36902120">
                                              <w:marLeft w:val="0"/>
                                              <w:marRight w:val="0"/>
                                              <w:marTop w:val="0"/>
                                              <w:marBottom w:val="0"/>
                                              <w:divBdr>
                                                <w:top w:val="none" w:sz="0" w:space="0" w:color="auto"/>
                                                <w:left w:val="none" w:sz="0" w:space="0" w:color="auto"/>
                                                <w:bottom w:val="none" w:sz="0" w:space="0" w:color="auto"/>
                                                <w:right w:val="none" w:sz="0" w:space="0" w:color="auto"/>
                                              </w:divBdr>
                                              <w:divsChild>
                                                <w:div w:id="184316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6426215">
          <w:marLeft w:val="0"/>
          <w:marRight w:val="0"/>
          <w:marTop w:val="0"/>
          <w:marBottom w:val="0"/>
          <w:divBdr>
            <w:top w:val="none" w:sz="0" w:space="0" w:color="auto"/>
            <w:left w:val="none" w:sz="0" w:space="0" w:color="auto"/>
            <w:bottom w:val="none" w:sz="0" w:space="0" w:color="auto"/>
            <w:right w:val="none" w:sz="0" w:space="0" w:color="auto"/>
          </w:divBdr>
          <w:divsChild>
            <w:div w:id="1782651897">
              <w:marLeft w:val="0"/>
              <w:marRight w:val="0"/>
              <w:marTop w:val="0"/>
              <w:marBottom w:val="0"/>
              <w:divBdr>
                <w:top w:val="none" w:sz="0" w:space="0" w:color="auto"/>
                <w:left w:val="none" w:sz="0" w:space="0" w:color="auto"/>
                <w:bottom w:val="none" w:sz="0" w:space="0" w:color="auto"/>
                <w:right w:val="none" w:sz="0" w:space="0" w:color="auto"/>
              </w:divBdr>
              <w:divsChild>
                <w:div w:id="2097552969">
                  <w:marLeft w:val="0"/>
                  <w:marRight w:val="0"/>
                  <w:marTop w:val="0"/>
                  <w:marBottom w:val="0"/>
                  <w:divBdr>
                    <w:top w:val="none" w:sz="0" w:space="0" w:color="auto"/>
                    <w:left w:val="none" w:sz="0" w:space="0" w:color="auto"/>
                    <w:bottom w:val="none" w:sz="0" w:space="0" w:color="auto"/>
                    <w:right w:val="none" w:sz="0" w:space="0" w:color="auto"/>
                  </w:divBdr>
                  <w:divsChild>
                    <w:div w:id="603414845">
                      <w:marLeft w:val="0"/>
                      <w:marRight w:val="0"/>
                      <w:marTop w:val="0"/>
                      <w:marBottom w:val="0"/>
                      <w:divBdr>
                        <w:top w:val="none" w:sz="0" w:space="0" w:color="auto"/>
                        <w:left w:val="none" w:sz="0" w:space="0" w:color="auto"/>
                        <w:bottom w:val="none" w:sz="0" w:space="0" w:color="auto"/>
                        <w:right w:val="none" w:sz="0" w:space="0" w:color="auto"/>
                      </w:divBdr>
                      <w:divsChild>
                        <w:div w:id="274950556">
                          <w:marLeft w:val="0"/>
                          <w:marRight w:val="0"/>
                          <w:marTop w:val="0"/>
                          <w:marBottom w:val="0"/>
                          <w:divBdr>
                            <w:top w:val="none" w:sz="0" w:space="0" w:color="auto"/>
                            <w:left w:val="none" w:sz="0" w:space="0" w:color="auto"/>
                            <w:bottom w:val="none" w:sz="0" w:space="0" w:color="auto"/>
                            <w:right w:val="none" w:sz="0" w:space="0" w:color="auto"/>
                          </w:divBdr>
                          <w:divsChild>
                            <w:div w:id="743453073">
                              <w:marLeft w:val="0"/>
                              <w:marRight w:val="0"/>
                              <w:marTop w:val="0"/>
                              <w:marBottom w:val="0"/>
                              <w:divBdr>
                                <w:top w:val="none" w:sz="0" w:space="0" w:color="auto"/>
                                <w:left w:val="none" w:sz="0" w:space="0" w:color="auto"/>
                                <w:bottom w:val="none" w:sz="0" w:space="0" w:color="auto"/>
                                <w:right w:val="none" w:sz="0" w:space="0" w:color="auto"/>
                              </w:divBdr>
                              <w:divsChild>
                                <w:div w:id="1671518979">
                                  <w:marLeft w:val="0"/>
                                  <w:marRight w:val="0"/>
                                  <w:marTop w:val="0"/>
                                  <w:marBottom w:val="0"/>
                                  <w:divBdr>
                                    <w:top w:val="none" w:sz="0" w:space="0" w:color="auto"/>
                                    <w:left w:val="none" w:sz="0" w:space="0" w:color="auto"/>
                                    <w:bottom w:val="none" w:sz="0" w:space="0" w:color="auto"/>
                                    <w:right w:val="none" w:sz="0" w:space="0" w:color="auto"/>
                                  </w:divBdr>
                                  <w:divsChild>
                                    <w:div w:id="1660697461">
                                      <w:marLeft w:val="0"/>
                                      <w:marRight w:val="0"/>
                                      <w:marTop w:val="0"/>
                                      <w:marBottom w:val="0"/>
                                      <w:divBdr>
                                        <w:top w:val="none" w:sz="0" w:space="0" w:color="auto"/>
                                        <w:left w:val="none" w:sz="0" w:space="0" w:color="auto"/>
                                        <w:bottom w:val="none" w:sz="0" w:space="0" w:color="auto"/>
                                        <w:right w:val="none" w:sz="0" w:space="0" w:color="auto"/>
                                      </w:divBdr>
                                    </w:div>
                                    <w:div w:id="10164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348897">
                  <w:marLeft w:val="0"/>
                  <w:marRight w:val="0"/>
                  <w:marTop w:val="0"/>
                  <w:marBottom w:val="0"/>
                  <w:divBdr>
                    <w:top w:val="none" w:sz="0" w:space="0" w:color="auto"/>
                    <w:left w:val="none" w:sz="0" w:space="0" w:color="auto"/>
                    <w:bottom w:val="none" w:sz="0" w:space="0" w:color="auto"/>
                    <w:right w:val="none" w:sz="0" w:space="0" w:color="auto"/>
                  </w:divBdr>
                  <w:divsChild>
                    <w:div w:id="1885175455">
                      <w:marLeft w:val="0"/>
                      <w:marRight w:val="0"/>
                      <w:marTop w:val="0"/>
                      <w:marBottom w:val="0"/>
                      <w:divBdr>
                        <w:top w:val="none" w:sz="0" w:space="0" w:color="auto"/>
                        <w:left w:val="none" w:sz="0" w:space="0" w:color="auto"/>
                        <w:bottom w:val="none" w:sz="0" w:space="0" w:color="auto"/>
                        <w:right w:val="none" w:sz="0" w:space="0" w:color="auto"/>
                      </w:divBdr>
                      <w:divsChild>
                        <w:div w:id="1569657063">
                          <w:marLeft w:val="0"/>
                          <w:marRight w:val="0"/>
                          <w:marTop w:val="0"/>
                          <w:marBottom w:val="0"/>
                          <w:divBdr>
                            <w:top w:val="none" w:sz="0" w:space="0" w:color="auto"/>
                            <w:left w:val="none" w:sz="0" w:space="0" w:color="auto"/>
                            <w:bottom w:val="none" w:sz="0" w:space="0" w:color="auto"/>
                            <w:right w:val="none" w:sz="0" w:space="0" w:color="auto"/>
                          </w:divBdr>
                          <w:divsChild>
                            <w:div w:id="923297975">
                              <w:marLeft w:val="0"/>
                              <w:marRight w:val="0"/>
                              <w:marTop w:val="0"/>
                              <w:marBottom w:val="0"/>
                              <w:divBdr>
                                <w:top w:val="none" w:sz="0" w:space="0" w:color="auto"/>
                                <w:left w:val="none" w:sz="0" w:space="0" w:color="auto"/>
                                <w:bottom w:val="none" w:sz="0" w:space="0" w:color="auto"/>
                                <w:right w:val="none" w:sz="0" w:space="0" w:color="auto"/>
                              </w:divBdr>
                              <w:divsChild>
                                <w:div w:id="104618295">
                                  <w:marLeft w:val="0"/>
                                  <w:marRight w:val="0"/>
                                  <w:marTop w:val="0"/>
                                  <w:marBottom w:val="0"/>
                                  <w:divBdr>
                                    <w:top w:val="none" w:sz="0" w:space="0" w:color="auto"/>
                                    <w:left w:val="none" w:sz="0" w:space="0" w:color="auto"/>
                                    <w:bottom w:val="none" w:sz="0" w:space="0" w:color="auto"/>
                                    <w:right w:val="none" w:sz="0" w:space="0" w:color="auto"/>
                                  </w:divBdr>
                                  <w:divsChild>
                                    <w:div w:id="1592474149">
                                      <w:marLeft w:val="0"/>
                                      <w:marRight w:val="0"/>
                                      <w:marTop w:val="0"/>
                                      <w:marBottom w:val="0"/>
                                      <w:divBdr>
                                        <w:top w:val="none" w:sz="0" w:space="0" w:color="auto"/>
                                        <w:left w:val="none" w:sz="0" w:space="0" w:color="auto"/>
                                        <w:bottom w:val="none" w:sz="0" w:space="0" w:color="auto"/>
                                        <w:right w:val="none" w:sz="0" w:space="0" w:color="auto"/>
                                      </w:divBdr>
                                    </w:div>
                                    <w:div w:id="1664317081">
                                      <w:marLeft w:val="0"/>
                                      <w:marRight w:val="0"/>
                                      <w:marTop w:val="0"/>
                                      <w:marBottom w:val="0"/>
                                      <w:divBdr>
                                        <w:top w:val="none" w:sz="0" w:space="0" w:color="auto"/>
                                        <w:left w:val="none" w:sz="0" w:space="0" w:color="auto"/>
                                        <w:bottom w:val="none" w:sz="0" w:space="0" w:color="auto"/>
                                        <w:right w:val="none" w:sz="0" w:space="0" w:color="auto"/>
                                      </w:divBdr>
                                      <w:divsChild>
                                        <w:div w:id="1519004250">
                                          <w:marLeft w:val="0"/>
                                          <w:marRight w:val="0"/>
                                          <w:marTop w:val="0"/>
                                          <w:marBottom w:val="0"/>
                                          <w:divBdr>
                                            <w:top w:val="none" w:sz="0" w:space="0" w:color="auto"/>
                                            <w:left w:val="none" w:sz="0" w:space="0" w:color="auto"/>
                                            <w:bottom w:val="none" w:sz="0" w:space="0" w:color="auto"/>
                                            <w:right w:val="none" w:sz="0" w:space="0" w:color="auto"/>
                                          </w:divBdr>
                                          <w:divsChild>
                                            <w:div w:id="1130244571">
                                              <w:marLeft w:val="0"/>
                                              <w:marRight w:val="0"/>
                                              <w:marTop w:val="0"/>
                                              <w:marBottom w:val="0"/>
                                              <w:divBdr>
                                                <w:top w:val="none" w:sz="0" w:space="0" w:color="auto"/>
                                                <w:left w:val="none" w:sz="0" w:space="0" w:color="auto"/>
                                                <w:bottom w:val="none" w:sz="0" w:space="0" w:color="auto"/>
                                                <w:right w:val="none" w:sz="0" w:space="0" w:color="auto"/>
                                              </w:divBdr>
                                            </w:div>
                                            <w:div w:id="1161702162">
                                              <w:marLeft w:val="0"/>
                                              <w:marRight w:val="0"/>
                                              <w:marTop w:val="0"/>
                                              <w:marBottom w:val="0"/>
                                              <w:divBdr>
                                                <w:top w:val="none" w:sz="0" w:space="0" w:color="auto"/>
                                                <w:left w:val="none" w:sz="0" w:space="0" w:color="auto"/>
                                                <w:bottom w:val="none" w:sz="0" w:space="0" w:color="auto"/>
                                                <w:right w:val="none" w:sz="0" w:space="0" w:color="auto"/>
                                              </w:divBdr>
                                            </w:div>
                                            <w:div w:id="1984044131">
                                              <w:marLeft w:val="0"/>
                                              <w:marRight w:val="0"/>
                                              <w:marTop w:val="0"/>
                                              <w:marBottom w:val="0"/>
                                              <w:divBdr>
                                                <w:top w:val="none" w:sz="0" w:space="0" w:color="auto"/>
                                                <w:left w:val="none" w:sz="0" w:space="0" w:color="auto"/>
                                                <w:bottom w:val="none" w:sz="0" w:space="0" w:color="auto"/>
                                                <w:right w:val="none" w:sz="0" w:space="0" w:color="auto"/>
                                              </w:divBdr>
                                            </w:div>
                                            <w:div w:id="598679677">
                                              <w:marLeft w:val="0"/>
                                              <w:marRight w:val="0"/>
                                              <w:marTop w:val="0"/>
                                              <w:marBottom w:val="0"/>
                                              <w:divBdr>
                                                <w:top w:val="none" w:sz="0" w:space="0" w:color="auto"/>
                                                <w:left w:val="none" w:sz="0" w:space="0" w:color="auto"/>
                                                <w:bottom w:val="none" w:sz="0" w:space="0" w:color="auto"/>
                                                <w:right w:val="none" w:sz="0" w:space="0" w:color="auto"/>
                                              </w:divBdr>
                                            </w:div>
                                            <w:div w:id="1601379397">
                                              <w:marLeft w:val="0"/>
                                              <w:marRight w:val="0"/>
                                              <w:marTop w:val="0"/>
                                              <w:marBottom w:val="0"/>
                                              <w:divBdr>
                                                <w:top w:val="none" w:sz="0" w:space="0" w:color="auto"/>
                                                <w:left w:val="none" w:sz="0" w:space="0" w:color="auto"/>
                                                <w:bottom w:val="none" w:sz="0" w:space="0" w:color="auto"/>
                                                <w:right w:val="none" w:sz="0" w:space="0" w:color="auto"/>
                                              </w:divBdr>
                                            </w:div>
                                            <w:div w:id="64166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762659">
          <w:marLeft w:val="0"/>
          <w:marRight w:val="0"/>
          <w:marTop w:val="0"/>
          <w:marBottom w:val="0"/>
          <w:divBdr>
            <w:top w:val="none" w:sz="0" w:space="0" w:color="auto"/>
            <w:left w:val="none" w:sz="0" w:space="0" w:color="auto"/>
            <w:bottom w:val="none" w:sz="0" w:space="0" w:color="auto"/>
            <w:right w:val="none" w:sz="0" w:space="0" w:color="auto"/>
          </w:divBdr>
          <w:divsChild>
            <w:div w:id="168640780">
              <w:marLeft w:val="0"/>
              <w:marRight w:val="0"/>
              <w:marTop w:val="0"/>
              <w:marBottom w:val="0"/>
              <w:divBdr>
                <w:top w:val="none" w:sz="0" w:space="0" w:color="auto"/>
                <w:left w:val="none" w:sz="0" w:space="0" w:color="auto"/>
                <w:bottom w:val="none" w:sz="0" w:space="0" w:color="auto"/>
                <w:right w:val="none" w:sz="0" w:space="0" w:color="auto"/>
              </w:divBdr>
              <w:divsChild>
                <w:div w:id="1812286748">
                  <w:marLeft w:val="0"/>
                  <w:marRight w:val="0"/>
                  <w:marTop w:val="0"/>
                  <w:marBottom w:val="0"/>
                  <w:divBdr>
                    <w:top w:val="none" w:sz="0" w:space="0" w:color="auto"/>
                    <w:left w:val="none" w:sz="0" w:space="0" w:color="auto"/>
                    <w:bottom w:val="none" w:sz="0" w:space="0" w:color="auto"/>
                    <w:right w:val="none" w:sz="0" w:space="0" w:color="auto"/>
                  </w:divBdr>
                  <w:divsChild>
                    <w:div w:id="636689092">
                      <w:marLeft w:val="0"/>
                      <w:marRight w:val="0"/>
                      <w:marTop w:val="0"/>
                      <w:marBottom w:val="0"/>
                      <w:divBdr>
                        <w:top w:val="none" w:sz="0" w:space="0" w:color="auto"/>
                        <w:left w:val="none" w:sz="0" w:space="0" w:color="auto"/>
                        <w:bottom w:val="none" w:sz="0" w:space="0" w:color="auto"/>
                        <w:right w:val="none" w:sz="0" w:space="0" w:color="auto"/>
                      </w:divBdr>
                      <w:divsChild>
                        <w:div w:id="2060787495">
                          <w:marLeft w:val="0"/>
                          <w:marRight w:val="0"/>
                          <w:marTop w:val="0"/>
                          <w:marBottom w:val="0"/>
                          <w:divBdr>
                            <w:top w:val="none" w:sz="0" w:space="0" w:color="auto"/>
                            <w:left w:val="none" w:sz="0" w:space="0" w:color="auto"/>
                            <w:bottom w:val="none" w:sz="0" w:space="0" w:color="auto"/>
                            <w:right w:val="none" w:sz="0" w:space="0" w:color="auto"/>
                          </w:divBdr>
                          <w:divsChild>
                            <w:div w:id="1401362650">
                              <w:marLeft w:val="0"/>
                              <w:marRight w:val="0"/>
                              <w:marTop w:val="0"/>
                              <w:marBottom w:val="0"/>
                              <w:divBdr>
                                <w:top w:val="none" w:sz="0" w:space="0" w:color="auto"/>
                                <w:left w:val="none" w:sz="0" w:space="0" w:color="auto"/>
                                <w:bottom w:val="none" w:sz="0" w:space="0" w:color="auto"/>
                                <w:right w:val="none" w:sz="0" w:space="0" w:color="auto"/>
                              </w:divBdr>
                              <w:divsChild>
                                <w:div w:id="17556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93158">
                  <w:marLeft w:val="0"/>
                  <w:marRight w:val="0"/>
                  <w:marTop w:val="0"/>
                  <w:marBottom w:val="0"/>
                  <w:divBdr>
                    <w:top w:val="none" w:sz="0" w:space="0" w:color="auto"/>
                    <w:left w:val="none" w:sz="0" w:space="0" w:color="auto"/>
                    <w:bottom w:val="none" w:sz="0" w:space="0" w:color="auto"/>
                    <w:right w:val="none" w:sz="0" w:space="0" w:color="auto"/>
                  </w:divBdr>
                  <w:divsChild>
                    <w:div w:id="1605069668">
                      <w:marLeft w:val="0"/>
                      <w:marRight w:val="0"/>
                      <w:marTop w:val="0"/>
                      <w:marBottom w:val="0"/>
                      <w:divBdr>
                        <w:top w:val="none" w:sz="0" w:space="0" w:color="auto"/>
                        <w:left w:val="none" w:sz="0" w:space="0" w:color="auto"/>
                        <w:bottom w:val="none" w:sz="0" w:space="0" w:color="auto"/>
                        <w:right w:val="none" w:sz="0" w:space="0" w:color="auto"/>
                      </w:divBdr>
                      <w:divsChild>
                        <w:div w:id="552037469">
                          <w:marLeft w:val="0"/>
                          <w:marRight w:val="0"/>
                          <w:marTop w:val="0"/>
                          <w:marBottom w:val="0"/>
                          <w:divBdr>
                            <w:top w:val="none" w:sz="0" w:space="0" w:color="auto"/>
                            <w:left w:val="none" w:sz="0" w:space="0" w:color="auto"/>
                            <w:bottom w:val="none" w:sz="0" w:space="0" w:color="auto"/>
                            <w:right w:val="none" w:sz="0" w:space="0" w:color="auto"/>
                          </w:divBdr>
                          <w:divsChild>
                            <w:div w:id="379866068">
                              <w:marLeft w:val="0"/>
                              <w:marRight w:val="0"/>
                              <w:marTop w:val="0"/>
                              <w:marBottom w:val="0"/>
                              <w:divBdr>
                                <w:top w:val="none" w:sz="0" w:space="0" w:color="auto"/>
                                <w:left w:val="none" w:sz="0" w:space="0" w:color="auto"/>
                                <w:bottom w:val="none" w:sz="0" w:space="0" w:color="auto"/>
                                <w:right w:val="none" w:sz="0" w:space="0" w:color="auto"/>
                              </w:divBdr>
                              <w:divsChild>
                                <w:div w:id="1079205779">
                                  <w:marLeft w:val="0"/>
                                  <w:marRight w:val="0"/>
                                  <w:marTop w:val="0"/>
                                  <w:marBottom w:val="0"/>
                                  <w:divBdr>
                                    <w:top w:val="none" w:sz="0" w:space="0" w:color="auto"/>
                                    <w:left w:val="none" w:sz="0" w:space="0" w:color="auto"/>
                                    <w:bottom w:val="none" w:sz="0" w:space="0" w:color="auto"/>
                                    <w:right w:val="none" w:sz="0" w:space="0" w:color="auto"/>
                                  </w:divBdr>
                                </w:div>
                                <w:div w:id="357659453">
                                  <w:marLeft w:val="0"/>
                                  <w:marRight w:val="0"/>
                                  <w:marTop w:val="0"/>
                                  <w:marBottom w:val="0"/>
                                  <w:divBdr>
                                    <w:top w:val="none" w:sz="0" w:space="0" w:color="auto"/>
                                    <w:left w:val="none" w:sz="0" w:space="0" w:color="auto"/>
                                    <w:bottom w:val="none" w:sz="0" w:space="0" w:color="auto"/>
                                    <w:right w:val="none" w:sz="0" w:space="0" w:color="auto"/>
                                  </w:divBdr>
                                  <w:divsChild>
                                    <w:div w:id="1914926602">
                                      <w:marLeft w:val="0"/>
                                      <w:marRight w:val="0"/>
                                      <w:marTop w:val="0"/>
                                      <w:marBottom w:val="0"/>
                                      <w:divBdr>
                                        <w:top w:val="none" w:sz="0" w:space="0" w:color="auto"/>
                                        <w:left w:val="none" w:sz="0" w:space="0" w:color="auto"/>
                                        <w:bottom w:val="none" w:sz="0" w:space="0" w:color="auto"/>
                                        <w:right w:val="none" w:sz="0" w:space="0" w:color="auto"/>
                                      </w:divBdr>
                                      <w:divsChild>
                                        <w:div w:id="353772956">
                                          <w:marLeft w:val="0"/>
                                          <w:marRight w:val="0"/>
                                          <w:marTop w:val="0"/>
                                          <w:marBottom w:val="0"/>
                                          <w:divBdr>
                                            <w:top w:val="none" w:sz="0" w:space="0" w:color="auto"/>
                                            <w:left w:val="none" w:sz="0" w:space="0" w:color="auto"/>
                                            <w:bottom w:val="none" w:sz="0" w:space="0" w:color="auto"/>
                                            <w:right w:val="none" w:sz="0" w:space="0" w:color="auto"/>
                                          </w:divBdr>
                                          <w:divsChild>
                                            <w:div w:id="1651398879">
                                              <w:marLeft w:val="0"/>
                                              <w:marRight w:val="0"/>
                                              <w:marTop w:val="0"/>
                                              <w:marBottom w:val="0"/>
                                              <w:divBdr>
                                                <w:top w:val="none" w:sz="0" w:space="0" w:color="auto"/>
                                                <w:left w:val="none" w:sz="0" w:space="0" w:color="auto"/>
                                                <w:bottom w:val="none" w:sz="0" w:space="0" w:color="auto"/>
                                                <w:right w:val="none" w:sz="0" w:space="0" w:color="auto"/>
                                              </w:divBdr>
                                              <w:divsChild>
                                                <w:div w:id="615143332">
                                                  <w:marLeft w:val="0"/>
                                                  <w:marRight w:val="0"/>
                                                  <w:marTop w:val="0"/>
                                                  <w:marBottom w:val="0"/>
                                                  <w:divBdr>
                                                    <w:top w:val="none" w:sz="0" w:space="0" w:color="auto"/>
                                                    <w:left w:val="none" w:sz="0" w:space="0" w:color="auto"/>
                                                    <w:bottom w:val="none" w:sz="0" w:space="0" w:color="auto"/>
                                                    <w:right w:val="none" w:sz="0" w:space="0" w:color="auto"/>
                                                  </w:divBdr>
                                                  <w:divsChild>
                                                    <w:div w:id="871302582">
                                                      <w:marLeft w:val="0"/>
                                                      <w:marRight w:val="0"/>
                                                      <w:marTop w:val="0"/>
                                                      <w:marBottom w:val="0"/>
                                                      <w:divBdr>
                                                        <w:top w:val="none" w:sz="0" w:space="0" w:color="auto"/>
                                                        <w:left w:val="none" w:sz="0" w:space="0" w:color="auto"/>
                                                        <w:bottom w:val="none" w:sz="0" w:space="0" w:color="auto"/>
                                                        <w:right w:val="none" w:sz="0" w:space="0" w:color="auto"/>
                                                      </w:divBdr>
                                                      <w:divsChild>
                                                        <w:div w:id="980816592">
                                                          <w:marLeft w:val="0"/>
                                                          <w:marRight w:val="0"/>
                                                          <w:marTop w:val="0"/>
                                                          <w:marBottom w:val="0"/>
                                                          <w:divBdr>
                                                            <w:top w:val="none" w:sz="0" w:space="0" w:color="auto"/>
                                                            <w:left w:val="none" w:sz="0" w:space="0" w:color="auto"/>
                                                            <w:bottom w:val="none" w:sz="0" w:space="0" w:color="auto"/>
                                                            <w:right w:val="none" w:sz="0" w:space="0" w:color="auto"/>
                                                          </w:divBdr>
                                                          <w:divsChild>
                                                            <w:div w:id="444277424">
                                                              <w:marLeft w:val="0"/>
                                                              <w:marRight w:val="0"/>
                                                              <w:marTop w:val="0"/>
                                                              <w:marBottom w:val="0"/>
                                                              <w:divBdr>
                                                                <w:top w:val="none" w:sz="0" w:space="0" w:color="auto"/>
                                                                <w:left w:val="none" w:sz="0" w:space="0" w:color="auto"/>
                                                                <w:bottom w:val="none" w:sz="0" w:space="0" w:color="auto"/>
                                                                <w:right w:val="none" w:sz="0" w:space="0" w:color="auto"/>
                                                              </w:divBdr>
                                                              <w:divsChild>
                                                                <w:div w:id="381289476">
                                                                  <w:marLeft w:val="0"/>
                                                                  <w:marRight w:val="0"/>
                                                                  <w:marTop w:val="0"/>
                                                                  <w:marBottom w:val="0"/>
                                                                  <w:divBdr>
                                                                    <w:top w:val="none" w:sz="0" w:space="0" w:color="auto"/>
                                                                    <w:left w:val="none" w:sz="0" w:space="0" w:color="auto"/>
                                                                    <w:bottom w:val="none" w:sz="0" w:space="0" w:color="auto"/>
                                                                    <w:right w:val="none" w:sz="0" w:space="0" w:color="auto"/>
                                                                  </w:divBdr>
                                                                  <w:divsChild>
                                                                    <w:div w:id="1048266684">
                                                                      <w:marLeft w:val="0"/>
                                                                      <w:marRight w:val="0"/>
                                                                      <w:marTop w:val="0"/>
                                                                      <w:marBottom w:val="0"/>
                                                                      <w:divBdr>
                                                                        <w:top w:val="none" w:sz="0" w:space="0" w:color="auto"/>
                                                                        <w:left w:val="none" w:sz="0" w:space="0" w:color="auto"/>
                                                                        <w:bottom w:val="none" w:sz="0" w:space="0" w:color="auto"/>
                                                                        <w:right w:val="none" w:sz="0" w:space="0" w:color="auto"/>
                                                                      </w:divBdr>
                                                                      <w:divsChild>
                                                                        <w:div w:id="174001718">
                                                                          <w:marLeft w:val="0"/>
                                                                          <w:marRight w:val="0"/>
                                                                          <w:marTop w:val="0"/>
                                                                          <w:marBottom w:val="0"/>
                                                                          <w:divBdr>
                                                                            <w:top w:val="none" w:sz="0" w:space="0" w:color="auto"/>
                                                                            <w:left w:val="none" w:sz="0" w:space="0" w:color="auto"/>
                                                                            <w:bottom w:val="none" w:sz="0" w:space="0" w:color="auto"/>
                                                                            <w:right w:val="none" w:sz="0" w:space="0" w:color="auto"/>
                                                                          </w:divBdr>
                                                                          <w:divsChild>
                                                                            <w:div w:id="1081291429">
                                                                              <w:marLeft w:val="0"/>
                                                                              <w:marRight w:val="0"/>
                                                                              <w:marTop w:val="0"/>
                                                                              <w:marBottom w:val="0"/>
                                                                              <w:divBdr>
                                                                                <w:top w:val="none" w:sz="0" w:space="0" w:color="auto"/>
                                                                                <w:left w:val="none" w:sz="0" w:space="0" w:color="auto"/>
                                                                                <w:bottom w:val="none" w:sz="0" w:space="0" w:color="auto"/>
                                                                                <w:right w:val="none" w:sz="0" w:space="0" w:color="auto"/>
                                                                              </w:divBdr>
                                                                              <w:divsChild>
                                                                                <w:div w:id="1575697057">
                                                                                  <w:marLeft w:val="0"/>
                                                                                  <w:marRight w:val="0"/>
                                                                                  <w:marTop w:val="0"/>
                                                                                  <w:marBottom w:val="0"/>
                                                                                  <w:divBdr>
                                                                                    <w:top w:val="none" w:sz="0" w:space="0" w:color="auto"/>
                                                                                    <w:left w:val="none" w:sz="0" w:space="0" w:color="auto"/>
                                                                                    <w:bottom w:val="none" w:sz="0" w:space="0" w:color="auto"/>
                                                                                    <w:right w:val="none" w:sz="0" w:space="0" w:color="auto"/>
                                                                                  </w:divBdr>
                                                                                  <w:divsChild>
                                                                                    <w:div w:id="37339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684576">
      <w:bodyDiv w:val="1"/>
      <w:marLeft w:val="0"/>
      <w:marRight w:val="0"/>
      <w:marTop w:val="0"/>
      <w:marBottom w:val="0"/>
      <w:divBdr>
        <w:top w:val="none" w:sz="0" w:space="0" w:color="auto"/>
        <w:left w:val="none" w:sz="0" w:space="0" w:color="auto"/>
        <w:bottom w:val="none" w:sz="0" w:space="0" w:color="auto"/>
        <w:right w:val="none" w:sz="0" w:space="0" w:color="auto"/>
      </w:divBdr>
      <w:divsChild>
        <w:div w:id="40448500">
          <w:marLeft w:val="0"/>
          <w:marRight w:val="0"/>
          <w:marTop w:val="0"/>
          <w:marBottom w:val="0"/>
          <w:divBdr>
            <w:top w:val="none" w:sz="0" w:space="0" w:color="auto"/>
            <w:left w:val="none" w:sz="0" w:space="0" w:color="auto"/>
            <w:bottom w:val="none" w:sz="0" w:space="0" w:color="auto"/>
            <w:right w:val="none" w:sz="0" w:space="0" w:color="auto"/>
          </w:divBdr>
        </w:div>
        <w:div w:id="2129926334">
          <w:marLeft w:val="0"/>
          <w:marRight w:val="0"/>
          <w:marTop w:val="0"/>
          <w:marBottom w:val="0"/>
          <w:divBdr>
            <w:top w:val="none" w:sz="0" w:space="0" w:color="auto"/>
            <w:left w:val="none" w:sz="0" w:space="0" w:color="auto"/>
            <w:bottom w:val="none" w:sz="0" w:space="0" w:color="auto"/>
            <w:right w:val="none" w:sz="0" w:space="0" w:color="auto"/>
          </w:divBdr>
          <w:divsChild>
            <w:div w:id="106899869">
              <w:marLeft w:val="0"/>
              <w:marRight w:val="0"/>
              <w:marTop w:val="0"/>
              <w:marBottom w:val="0"/>
              <w:divBdr>
                <w:top w:val="none" w:sz="0" w:space="0" w:color="auto"/>
                <w:left w:val="none" w:sz="0" w:space="0" w:color="auto"/>
                <w:bottom w:val="none" w:sz="0" w:space="0" w:color="auto"/>
                <w:right w:val="none" w:sz="0" w:space="0" w:color="auto"/>
              </w:divBdr>
              <w:divsChild>
                <w:div w:id="406998769">
                  <w:marLeft w:val="0"/>
                  <w:marRight w:val="0"/>
                  <w:marTop w:val="0"/>
                  <w:marBottom w:val="0"/>
                  <w:divBdr>
                    <w:top w:val="none" w:sz="0" w:space="0" w:color="auto"/>
                    <w:left w:val="none" w:sz="0" w:space="0" w:color="auto"/>
                    <w:bottom w:val="none" w:sz="0" w:space="0" w:color="auto"/>
                    <w:right w:val="none" w:sz="0" w:space="0" w:color="auto"/>
                  </w:divBdr>
                  <w:divsChild>
                    <w:div w:id="235670493">
                      <w:marLeft w:val="0"/>
                      <w:marRight w:val="0"/>
                      <w:marTop w:val="0"/>
                      <w:marBottom w:val="0"/>
                      <w:divBdr>
                        <w:top w:val="none" w:sz="0" w:space="0" w:color="auto"/>
                        <w:left w:val="none" w:sz="0" w:space="0" w:color="auto"/>
                        <w:bottom w:val="none" w:sz="0" w:space="0" w:color="auto"/>
                        <w:right w:val="none" w:sz="0" w:space="0" w:color="auto"/>
                      </w:divBdr>
                      <w:divsChild>
                        <w:div w:id="514533996">
                          <w:marLeft w:val="0"/>
                          <w:marRight w:val="0"/>
                          <w:marTop w:val="0"/>
                          <w:marBottom w:val="0"/>
                          <w:divBdr>
                            <w:top w:val="none" w:sz="0" w:space="0" w:color="auto"/>
                            <w:left w:val="none" w:sz="0" w:space="0" w:color="auto"/>
                            <w:bottom w:val="none" w:sz="0" w:space="0" w:color="auto"/>
                            <w:right w:val="none" w:sz="0" w:space="0" w:color="auto"/>
                          </w:divBdr>
                          <w:divsChild>
                            <w:div w:id="52988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070610">
      <w:bodyDiv w:val="1"/>
      <w:marLeft w:val="0"/>
      <w:marRight w:val="0"/>
      <w:marTop w:val="0"/>
      <w:marBottom w:val="0"/>
      <w:divBdr>
        <w:top w:val="none" w:sz="0" w:space="0" w:color="auto"/>
        <w:left w:val="none" w:sz="0" w:space="0" w:color="auto"/>
        <w:bottom w:val="none" w:sz="0" w:space="0" w:color="auto"/>
        <w:right w:val="none" w:sz="0" w:space="0" w:color="auto"/>
      </w:divBdr>
      <w:divsChild>
        <w:div w:id="1764229939">
          <w:marLeft w:val="0"/>
          <w:marRight w:val="0"/>
          <w:marTop w:val="0"/>
          <w:marBottom w:val="0"/>
          <w:divBdr>
            <w:top w:val="none" w:sz="0" w:space="0" w:color="auto"/>
            <w:left w:val="none" w:sz="0" w:space="0" w:color="auto"/>
            <w:bottom w:val="none" w:sz="0" w:space="0" w:color="auto"/>
            <w:right w:val="none" w:sz="0" w:space="0" w:color="auto"/>
          </w:divBdr>
        </w:div>
        <w:div w:id="1076977829">
          <w:marLeft w:val="0"/>
          <w:marRight w:val="0"/>
          <w:marTop w:val="0"/>
          <w:marBottom w:val="0"/>
          <w:divBdr>
            <w:top w:val="none" w:sz="0" w:space="0" w:color="auto"/>
            <w:left w:val="none" w:sz="0" w:space="0" w:color="auto"/>
            <w:bottom w:val="none" w:sz="0" w:space="0" w:color="auto"/>
            <w:right w:val="none" w:sz="0" w:space="0" w:color="auto"/>
          </w:divBdr>
          <w:divsChild>
            <w:div w:id="1344631324">
              <w:marLeft w:val="0"/>
              <w:marRight w:val="0"/>
              <w:marTop w:val="0"/>
              <w:marBottom w:val="0"/>
              <w:divBdr>
                <w:top w:val="none" w:sz="0" w:space="0" w:color="auto"/>
                <w:left w:val="none" w:sz="0" w:space="0" w:color="auto"/>
                <w:bottom w:val="none" w:sz="0" w:space="0" w:color="auto"/>
                <w:right w:val="none" w:sz="0" w:space="0" w:color="auto"/>
              </w:divBdr>
              <w:divsChild>
                <w:div w:id="2125271787">
                  <w:marLeft w:val="0"/>
                  <w:marRight w:val="0"/>
                  <w:marTop w:val="0"/>
                  <w:marBottom w:val="0"/>
                  <w:divBdr>
                    <w:top w:val="none" w:sz="0" w:space="0" w:color="auto"/>
                    <w:left w:val="none" w:sz="0" w:space="0" w:color="auto"/>
                    <w:bottom w:val="none" w:sz="0" w:space="0" w:color="auto"/>
                    <w:right w:val="none" w:sz="0" w:space="0" w:color="auto"/>
                  </w:divBdr>
                  <w:divsChild>
                    <w:div w:id="1219321759">
                      <w:marLeft w:val="0"/>
                      <w:marRight w:val="0"/>
                      <w:marTop w:val="0"/>
                      <w:marBottom w:val="0"/>
                      <w:divBdr>
                        <w:top w:val="none" w:sz="0" w:space="0" w:color="auto"/>
                        <w:left w:val="none" w:sz="0" w:space="0" w:color="auto"/>
                        <w:bottom w:val="none" w:sz="0" w:space="0" w:color="auto"/>
                        <w:right w:val="none" w:sz="0" w:space="0" w:color="auto"/>
                      </w:divBdr>
                      <w:divsChild>
                        <w:div w:id="1636594321">
                          <w:marLeft w:val="0"/>
                          <w:marRight w:val="0"/>
                          <w:marTop w:val="0"/>
                          <w:marBottom w:val="0"/>
                          <w:divBdr>
                            <w:top w:val="none" w:sz="0" w:space="0" w:color="auto"/>
                            <w:left w:val="none" w:sz="0" w:space="0" w:color="auto"/>
                            <w:bottom w:val="none" w:sz="0" w:space="0" w:color="auto"/>
                            <w:right w:val="none" w:sz="0" w:space="0" w:color="auto"/>
                          </w:divBdr>
                          <w:divsChild>
                            <w:div w:id="131033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802006">
      <w:bodyDiv w:val="1"/>
      <w:marLeft w:val="0"/>
      <w:marRight w:val="0"/>
      <w:marTop w:val="0"/>
      <w:marBottom w:val="0"/>
      <w:divBdr>
        <w:top w:val="none" w:sz="0" w:space="0" w:color="auto"/>
        <w:left w:val="none" w:sz="0" w:space="0" w:color="auto"/>
        <w:bottom w:val="none" w:sz="0" w:space="0" w:color="auto"/>
        <w:right w:val="none" w:sz="0" w:space="0" w:color="auto"/>
      </w:divBdr>
      <w:divsChild>
        <w:div w:id="1259948272">
          <w:marLeft w:val="0"/>
          <w:marRight w:val="0"/>
          <w:marTop w:val="0"/>
          <w:marBottom w:val="0"/>
          <w:divBdr>
            <w:top w:val="none" w:sz="0" w:space="0" w:color="auto"/>
            <w:left w:val="none" w:sz="0" w:space="0" w:color="auto"/>
            <w:bottom w:val="none" w:sz="0" w:space="0" w:color="auto"/>
            <w:right w:val="none" w:sz="0" w:space="0" w:color="auto"/>
          </w:divBdr>
          <w:divsChild>
            <w:div w:id="804397497">
              <w:marLeft w:val="0"/>
              <w:marRight w:val="0"/>
              <w:marTop w:val="0"/>
              <w:marBottom w:val="0"/>
              <w:divBdr>
                <w:top w:val="none" w:sz="0" w:space="0" w:color="auto"/>
                <w:left w:val="none" w:sz="0" w:space="0" w:color="auto"/>
                <w:bottom w:val="none" w:sz="0" w:space="0" w:color="auto"/>
                <w:right w:val="none" w:sz="0" w:space="0" w:color="auto"/>
              </w:divBdr>
              <w:divsChild>
                <w:div w:id="147621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516703">
      <w:bodyDiv w:val="1"/>
      <w:marLeft w:val="0"/>
      <w:marRight w:val="0"/>
      <w:marTop w:val="0"/>
      <w:marBottom w:val="0"/>
      <w:divBdr>
        <w:top w:val="none" w:sz="0" w:space="0" w:color="auto"/>
        <w:left w:val="none" w:sz="0" w:space="0" w:color="auto"/>
        <w:bottom w:val="none" w:sz="0" w:space="0" w:color="auto"/>
        <w:right w:val="none" w:sz="0" w:space="0" w:color="auto"/>
      </w:divBdr>
      <w:divsChild>
        <w:div w:id="365910296">
          <w:marLeft w:val="0"/>
          <w:marRight w:val="0"/>
          <w:marTop w:val="0"/>
          <w:marBottom w:val="0"/>
          <w:divBdr>
            <w:top w:val="none" w:sz="0" w:space="0" w:color="auto"/>
            <w:left w:val="none" w:sz="0" w:space="0" w:color="auto"/>
            <w:bottom w:val="none" w:sz="0" w:space="0" w:color="auto"/>
            <w:right w:val="none" w:sz="0" w:space="0" w:color="auto"/>
          </w:divBdr>
        </w:div>
        <w:div w:id="95173223">
          <w:marLeft w:val="0"/>
          <w:marRight w:val="0"/>
          <w:marTop w:val="0"/>
          <w:marBottom w:val="0"/>
          <w:divBdr>
            <w:top w:val="none" w:sz="0" w:space="0" w:color="auto"/>
            <w:left w:val="none" w:sz="0" w:space="0" w:color="auto"/>
            <w:bottom w:val="none" w:sz="0" w:space="0" w:color="auto"/>
            <w:right w:val="none" w:sz="0" w:space="0" w:color="auto"/>
          </w:divBdr>
        </w:div>
        <w:div w:id="509369749">
          <w:marLeft w:val="0"/>
          <w:marRight w:val="0"/>
          <w:marTop w:val="0"/>
          <w:marBottom w:val="0"/>
          <w:divBdr>
            <w:top w:val="none" w:sz="0" w:space="0" w:color="auto"/>
            <w:left w:val="none" w:sz="0" w:space="0" w:color="auto"/>
            <w:bottom w:val="none" w:sz="0" w:space="0" w:color="auto"/>
            <w:right w:val="none" w:sz="0" w:space="0" w:color="auto"/>
          </w:divBdr>
        </w:div>
        <w:div w:id="1342389917">
          <w:marLeft w:val="0"/>
          <w:marRight w:val="0"/>
          <w:marTop w:val="0"/>
          <w:marBottom w:val="0"/>
          <w:divBdr>
            <w:top w:val="none" w:sz="0" w:space="0" w:color="auto"/>
            <w:left w:val="none" w:sz="0" w:space="0" w:color="auto"/>
            <w:bottom w:val="none" w:sz="0" w:space="0" w:color="auto"/>
            <w:right w:val="none" w:sz="0" w:space="0" w:color="auto"/>
          </w:divBdr>
        </w:div>
        <w:div w:id="254633269">
          <w:marLeft w:val="0"/>
          <w:marRight w:val="0"/>
          <w:marTop w:val="0"/>
          <w:marBottom w:val="0"/>
          <w:divBdr>
            <w:top w:val="none" w:sz="0" w:space="0" w:color="auto"/>
            <w:left w:val="none" w:sz="0" w:space="0" w:color="auto"/>
            <w:bottom w:val="none" w:sz="0" w:space="0" w:color="auto"/>
            <w:right w:val="none" w:sz="0" w:space="0" w:color="auto"/>
          </w:divBdr>
        </w:div>
        <w:div w:id="19403756">
          <w:marLeft w:val="0"/>
          <w:marRight w:val="0"/>
          <w:marTop w:val="0"/>
          <w:marBottom w:val="0"/>
          <w:divBdr>
            <w:top w:val="none" w:sz="0" w:space="0" w:color="auto"/>
            <w:left w:val="none" w:sz="0" w:space="0" w:color="auto"/>
            <w:bottom w:val="none" w:sz="0" w:space="0" w:color="auto"/>
            <w:right w:val="none" w:sz="0" w:space="0" w:color="auto"/>
          </w:divBdr>
        </w:div>
        <w:div w:id="769423827">
          <w:marLeft w:val="0"/>
          <w:marRight w:val="0"/>
          <w:marTop w:val="0"/>
          <w:marBottom w:val="0"/>
          <w:divBdr>
            <w:top w:val="none" w:sz="0" w:space="0" w:color="auto"/>
            <w:left w:val="none" w:sz="0" w:space="0" w:color="auto"/>
            <w:bottom w:val="none" w:sz="0" w:space="0" w:color="auto"/>
            <w:right w:val="none" w:sz="0" w:space="0" w:color="auto"/>
          </w:divBdr>
        </w:div>
      </w:divsChild>
    </w:div>
    <w:div w:id="1424493442">
      <w:bodyDiv w:val="1"/>
      <w:marLeft w:val="0"/>
      <w:marRight w:val="0"/>
      <w:marTop w:val="0"/>
      <w:marBottom w:val="0"/>
      <w:divBdr>
        <w:top w:val="none" w:sz="0" w:space="0" w:color="auto"/>
        <w:left w:val="none" w:sz="0" w:space="0" w:color="auto"/>
        <w:bottom w:val="none" w:sz="0" w:space="0" w:color="auto"/>
        <w:right w:val="none" w:sz="0" w:space="0" w:color="auto"/>
      </w:divBdr>
    </w:div>
    <w:div w:id="1491479282">
      <w:bodyDiv w:val="1"/>
      <w:marLeft w:val="0"/>
      <w:marRight w:val="0"/>
      <w:marTop w:val="0"/>
      <w:marBottom w:val="0"/>
      <w:divBdr>
        <w:top w:val="none" w:sz="0" w:space="0" w:color="auto"/>
        <w:left w:val="none" w:sz="0" w:space="0" w:color="auto"/>
        <w:bottom w:val="none" w:sz="0" w:space="0" w:color="auto"/>
        <w:right w:val="none" w:sz="0" w:space="0" w:color="auto"/>
      </w:divBdr>
      <w:divsChild>
        <w:div w:id="718431555">
          <w:marLeft w:val="0"/>
          <w:marRight w:val="0"/>
          <w:marTop w:val="0"/>
          <w:marBottom w:val="0"/>
          <w:divBdr>
            <w:top w:val="none" w:sz="0" w:space="0" w:color="auto"/>
            <w:left w:val="none" w:sz="0" w:space="0" w:color="auto"/>
            <w:bottom w:val="none" w:sz="0" w:space="0" w:color="auto"/>
            <w:right w:val="none" w:sz="0" w:space="0" w:color="auto"/>
          </w:divBdr>
          <w:divsChild>
            <w:div w:id="1310096067">
              <w:marLeft w:val="0"/>
              <w:marRight w:val="0"/>
              <w:marTop w:val="0"/>
              <w:marBottom w:val="0"/>
              <w:divBdr>
                <w:top w:val="none" w:sz="0" w:space="0" w:color="auto"/>
                <w:left w:val="none" w:sz="0" w:space="0" w:color="auto"/>
                <w:bottom w:val="none" w:sz="0" w:space="0" w:color="auto"/>
                <w:right w:val="none" w:sz="0" w:space="0" w:color="auto"/>
              </w:divBdr>
              <w:divsChild>
                <w:div w:id="136841055">
                  <w:marLeft w:val="0"/>
                  <w:marRight w:val="0"/>
                  <w:marTop w:val="0"/>
                  <w:marBottom w:val="0"/>
                  <w:divBdr>
                    <w:top w:val="none" w:sz="0" w:space="0" w:color="auto"/>
                    <w:left w:val="none" w:sz="0" w:space="0" w:color="auto"/>
                    <w:bottom w:val="none" w:sz="0" w:space="0" w:color="auto"/>
                    <w:right w:val="none" w:sz="0" w:space="0" w:color="auto"/>
                  </w:divBdr>
                  <w:divsChild>
                    <w:div w:id="1203860662">
                      <w:marLeft w:val="0"/>
                      <w:marRight w:val="0"/>
                      <w:marTop w:val="0"/>
                      <w:marBottom w:val="0"/>
                      <w:divBdr>
                        <w:top w:val="none" w:sz="0" w:space="0" w:color="auto"/>
                        <w:left w:val="none" w:sz="0" w:space="0" w:color="auto"/>
                        <w:bottom w:val="none" w:sz="0" w:space="0" w:color="auto"/>
                        <w:right w:val="none" w:sz="0" w:space="0" w:color="auto"/>
                      </w:divBdr>
                      <w:divsChild>
                        <w:div w:id="2008484606">
                          <w:marLeft w:val="0"/>
                          <w:marRight w:val="0"/>
                          <w:marTop w:val="0"/>
                          <w:marBottom w:val="0"/>
                          <w:divBdr>
                            <w:top w:val="none" w:sz="0" w:space="0" w:color="auto"/>
                            <w:left w:val="none" w:sz="0" w:space="0" w:color="auto"/>
                            <w:bottom w:val="none" w:sz="0" w:space="0" w:color="auto"/>
                            <w:right w:val="none" w:sz="0" w:space="0" w:color="auto"/>
                          </w:divBdr>
                          <w:divsChild>
                            <w:div w:id="1357580348">
                              <w:marLeft w:val="0"/>
                              <w:marRight w:val="0"/>
                              <w:marTop w:val="0"/>
                              <w:marBottom w:val="0"/>
                              <w:divBdr>
                                <w:top w:val="none" w:sz="0" w:space="0" w:color="auto"/>
                                <w:left w:val="none" w:sz="0" w:space="0" w:color="auto"/>
                                <w:bottom w:val="none" w:sz="0" w:space="0" w:color="auto"/>
                                <w:right w:val="none" w:sz="0" w:space="0" w:color="auto"/>
                              </w:divBdr>
                              <w:divsChild>
                                <w:div w:id="1103498720">
                                  <w:marLeft w:val="0"/>
                                  <w:marRight w:val="0"/>
                                  <w:marTop w:val="0"/>
                                  <w:marBottom w:val="0"/>
                                  <w:divBdr>
                                    <w:top w:val="none" w:sz="0" w:space="0" w:color="auto"/>
                                    <w:left w:val="none" w:sz="0" w:space="0" w:color="auto"/>
                                    <w:bottom w:val="none" w:sz="0" w:space="0" w:color="auto"/>
                                    <w:right w:val="none" w:sz="0" w:space="0" w:color="auto"/>
                                  </w:divBdr>
                                  <w:divsChild>
                                    <w:div w:id="238372287">
                                      <w:marLeft w:val="0"/>
                                      <w:marRight w:val="0"/>
                                      <w:marTop w:val="0"/>
                                      <w:marBottom w:val="0"/>
                                      <w:divBdr>
                                        <w:top w:val="none" w:sz="0" w:space="0" w:color="auto"/>
                                        <w:left w:val="none" w:sz="0" w:space="0" w:color="auto"/>
                                        <w:bottom w:val="none" w:sz="0" w:space="0" w:color="auto"/>
                                        <w:right w:val="none" w:sz="0" w:space="0" w:color="auto"/>
                                      </w:divBdr>
                                      <w:divsChild>
                                        <w:div w:id="735054676">
                                          <w:marLeft w:val="0"/>
                                          <w:marRight w:val="0"/>
                                          <w:marTop w:val="0"/>
                                          <w:marBottom w:val="0"/>
                                          <w:divBdr>
                                            <w:top w:val="none" w:sz="0" w:space="0" w:color="auto"/>
                                            <w:left w:val="none" w:sz="0" w:space="0" w:color="auto"/>
                                            <w:bottom w:val="none" w:sz="0" w:space="0" w:color="auto"/>
                                            <w:right w:val="none" w:sz="0" w:space="0" w:color="auto"/>
                                          </w:divBdr>
                                          <w:divsChild>
                                            <w:div w:id="1105032441">
                                              <w:marLeft w:val="0"/>
                                              <w:marRight w:val="0"/>
                                              <w:marTop w:val="0"/>
                                              <w:marBottom w:val="0"/>
                                              <w:divBdr>
                                                <w:top w:val="none" w:sz="0" w:space="0" w:color="auto"/>
                                                <w:left w:val="none" w:sz="0" w:space="0" w:color="auto"/>
                                                <w:bottom w:val="none" w:sz="0" w:space="0" w:color="auto"/>
                                                <w:right w:val="none" w:sz="0" w:space="0" w:color="auto"/>
                                              </w:divBdr>
                                              <w:divsChild>
                                                <w:div w:id="807086321">
                                                  <w:marLeft w:val="0"/>
                                                  <w:marRight w:val="0"/>
                                                  <w:marTop w:val="0"/>
                                                  <w:marBottom w:val="0"/>
                                                  <w:divBdr>
                                                    <w:top w:val="none" w:sz="0" w:space="0" w:color="auto"/>
                                                    <w:left w:val="none" w:sz="0" w:space="0" w:color="auto"/>
                                                    <w:bottom w:val="none" w:sz="0" w:space="0" w:color="auto"/>
                                                    <w:right w:val="none" w:sz="0" w:space="0" w:color="auto"/>
                                                  </w:divBdr>
                                                  <w:divsChild>
                                                    <w:div w:id="148641608">
                                                      <w:marLeft w:val="0"/>
                                                      <w:marRight w:val="0"/>
                                                      <w:marTop w:val="0"/>
                                                      <w:marBottom w:val="0"/>
                                                      <w:divBdr>
                                                        <w:top w:val="none" w:sz="0" w:space="0" w:color="auto"/>
                                                        <w:left w:val="none" w:sz="0" w:space="0" w:color="auto"/>
                                                        <w:bottom w:val="none" w:sz="0" w:space="0" w:color="auto"/>
                                                        <w:right w:val="none" w:sz="0" w:space="0" w:color="auto"/>
                                                      </w:divBdr>
                                                    </w:div>
                                                    <w:div w:id="2003116412">
                                                      <w:marLeft w:val="0"/>
                                                      <w:marRight w:val="0"/>
                                                      <w:marTop w:val="0"/>
                                                      <w:marBottom w:val="0"/>
                                                      <w:divBdr>
                                                        <w:top w:val="none" w:sz="0" w:space="0" w:color="auto"/>
                                                        <w:left w:val="none" w:sz="0" w:space="0" w:color="auto"/>
                                                        <w:bottom w:val="none" w:sz="0" w:space="0" w:color="auto"/>
                                                        <w:right w:val="none" w:sz="0" w:space="0" w:color="auto"/>
                                                      </w:divBdr>
                                                      <w:divsChild>
                                                        <w:div w:id="1900087703">
                                                          <w:marLeft w:val="0"/>
                                                          <w:marRight w:val="0"/>
                                                          <w:marTop w:val="0"/>
                                                          <w:marBottom w:val="0"/>
                                                          <w:divBdr>
                                                            <w:top w:val="none" w:sz="0" w:space="0" w:color="auto"/>
                                                            <w:left w:val="none" w:sz="0" w:space="0" w:color="auto"/>
                                                            <w:bottom w:val="none" w:sz="0" w:space="0" w:color="auto"/>
                                                            <w:right w:val="none" w:sz="0" w:space="0" w:color="auto"/>
                                                          </w:divBdr>
                                                          <w:divsChild>
                                                            <w:div w:id="1625767193">
                                                              <w:marLeft w:val="0"/>
                                                              <w:marRight w:val="0"/>
                                                              <w:marTop w:val="0"/>
                                                              <w:marBottom w:val="0"/>
                                                              <w:divBdr>
                                                                <w:top w:val="none" w:sz="0" w:space="0" w:color="auto"/>
                                                                <w:left w:val="none" w:sz="0" w:space="0" w:color="auto"/>
                                                                <w:bottom w:val="none" w:sz="0" w:space="0" w:color="auto"/>
                                                                <w:right w:val="none" w:sz="0" w:space="0" w:color="auto"/>
                                                              </w:divBdr>
                                                              <w:divsChild>
                                                                <w:div w:id="1700625596">
                                                                  <w:marLeft w:val="0"/>
                                                                  <w:marRight w:val="0"/>
                                                                  <w:marTop w:val="0"/>
                                                                  <w:marBottom w:val="0"/>
                                                                  <w:divBdr>
                                                                    <w:top w:val="none" w:sz="0" w:space="0" w:color="auto"/>
                                                                    <w:left w:val="none" w:sz="0" w:space="0" w:color="auto"/>
                                                                    <w:bottom w:val="none" w:sz="0" w:space="0" w:color="auto"/>
                                                                    <w:right w:val="none" w:sz="0" w:space="0" w:color="auto"/>
                                                                  </w:divBdr>
                                                                  <w:divsChild>
                                                                    <w:div w:id="655111968">
                                                                      <w:marLeft w:val="0"/>
                                                                      <w:marRight w:val="0"/>
                                                                      <w:marTop w:val="0"/>
                                                                      <w:marBottom w:val="0"/>
                                                                      <w:divBdr>
                                                                        <w:top w:val="none" w:sz="0" w:space="0" w:color="auto"/>
                                                                        <w:left w:val="none" w:sz="0" w:space="0" w:color="auto"/>
                                                                        <w:bottom w:val="none" w:sz="0" w:space="0" w:color="auto"/>
                                                                        <w:right w:val="none" w:sz="0" w:space="0" w:color="auto"/>
                                                                      </w:divBdr>
                                                                      <w:divsChild>
                                                                        <w:div w:id="87235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1118597">
      <w:bodyDiv w:val="1"/>
      <w:marLeft w:val="0"/>
      <w:marRight w:val="0"/>
      <w:marTop w:val="0"/>
      <w:marBottom w:val="0"/>
      <w:divBdr>
        <w:top w:val="none" w:sz="0" w:space="0" w:color="auto"/>
        <w:left w:val="none" w:sz="0" w:space="0" w:color="auto"/>
        <w:bottom w:val="none" w:sz="0" w:space="0" w:color="auto"/>
        <w:right w:val="none" w:sz="0" w:space="0" w:color="auto"/>
      </w:divBdr>
    </w:div>
    <w:div w:id="1866551997">
      <w:bodyDiv w:val="1"/>
      <w:marLeft w:val="0"/>
      <w:marRight w:val="0"/>
      <w:marTop w:val="0"/>
      <w:marBottom w:val="0"/>
      <w:divBdr>
        <w:top w:val="none" w:sz="0" w:space="0" w:color="auto"/>
        <w:left w:val="none" w:sz="0" w:space="0" w:color="auto"/>
        <w:bottom w:val="none" w:sz="0" w:space="0" w:color="auto"/>
        <w:right w:val="none" w:sz="0" w:space="0" w:color="auto"/>
      </w:divBdr>
      <w:divsChild>
        <w:div w:id="1003817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4030E-B568-4CFD-8785-2364D68EA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16</Pages>
  <Words>5594</Words>
  <Characters>31890</Characters>
  <Application>Microsoft Office Word</Application>
  <DocSecurity>0</DocSecurity>
  <Lines>265</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Basaktemiz</dc:creator>
  <cp:keywords/>
  <dc:description/>
  <cp:lastModifiedBy>Tuğba Yücel</cp:lastModifiedBy>
  <cp:revision>18</cp:revision>
  <cp:lastPrinted>2015-01-07T13:27:00Z</cp:lastPrinted>
  <dcterms:created xsi:type="dcterms:W3CDTF">2015-01-07T12:39:00Z</dcterms:created>
  <dcterms:modified xsi:type="dcterms:W3CDTF">2016-02-02T08:57:00Z</dcterms:modified>
</cp:coreProperties>
</file>