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1495"/>
        <w:tblW w:w="5000" w:type="pct"/>
        <w:tblCellSpacing w:w="0" w:type="dxa"/>
        <w:tblCellMar>
          <w:left w:w="0" w:type="dxa"/>
          <w:right w:w="0" w:type="dxa"/>
        </w:tblCellMar>
        <w:tblLook w:val="04A0" w:firstRow="1" w:lastRow="0" w:firstColumn="1" w:lastColumn="0" w:noHBand="0" w:noVBand="1"/>
      </w:tblPr>
      <w:tblGrid>
        <w:gridCol w:w="445"/>
        <w:gridCol w:w="766"/>
        <w:gridCol w:w="1078"/>
        <w:gridCol w:w="766"/>
        <w:gridCol w:w="767"/>
        <w:gridCol w:w="767"/>
        <w:gridCol w:w="1335"/>
        <w:gridCol w:w="766"/>
        <w:gridCol w:w="1335"/>
        <w:gridCol w:w="766"/>
        <w:gridCol w:w="281"/>
      </w:tblGrid>
      <w:tr w:rsidR="00491E09" w:rsidRPr="00105805" w:rsidTr="00491E09">
        <w:trPr>
          <w:trHeight w:val="135"/>
          <w:tblCellSpacing w:w="0" w:type="dxa"/>
        </w:trPr>
        <w:tc>
          <w:tcPr>
            <w:tcW w:w="245" w:type="pct"/>
            <w:vMerge w:val="restart"/>
            <w:hideMark/>
          </w:tcPr>
          <w:p w:rsidR="00491E09" w:rsidRPr="00105805" w:rsidRDefault="00491E09" w:rsidP="00491E09">
            <w:pPr>
              <w:rPr>
                <w:rFonts w:ascii="Times New Roman" w:eastAsia="Times New Roman" w:hAnsi="Times New Roman" w:cs="Times New Roman"/>
                <w:sz w:val="20"/>
                <w:szCs w:val="20"/>
                <w:lang w:eastAsia="tr-TR"/>
              </w:rPr>
            </w:pPr>
            <w:r w:rsidRPr="00105805">
              <w:rPr>
                <w:rFonts w:ascii="Arial" w:eastAsia="Times New Roman" w:hAnsi="Arial" w:cs="Arial"/>
                <w:b/>
                <w:bCs/>
                <w:color w:val="7F0000"/>
                <w:sz w:val="20"/>
                <w:szCs w:val="20"/>
                <w:lang w:eastAsia="tr-TR"/>
              </w:rPr>
              <w:t>Yıl</w:t>
            </w:r>
          </w:p>
        </w:tc>
        <w:tc>
          <w:tcPr>
            <w:tcW w:w="422" w:type="pct"/>
            <w:hideMark/>
          </w:tcPr>
          <w:p w:rsidR="00491E09" w:rsidRPr="00105805" w:rsidRDefault="00491E09" w:rsidP="00491E09">
            <w:pPr>
              <w:rPr>
                <w:rFonts w:cs="Times New Roman"/>
                <w:sz w:val="20"/>
                <w:szCs w:val="20"/>
              </w:rPr>
            </w:pPr>
          </w:p>
        </w:tc>
        <w:tc>
          <w:tcPr>
            <w:tcW w:w="594" w:type="pct"/>
            <w:vMerge w:val="restart"/>
            <w:hideMark/>
          </w:tcPr>
          <w:p w:rsidR="00491E09" w:rsidRPr="00105805" w:rsidRDefault="00491E09" w:rsidP="00491E09">
            <w:pPr>
              <w:spacing w:line="135" w:lineRule="atLeast"/>
              <w:rPr>
                <w:rFonts w:ascii="Times New Roman" w:eastAsia="Times New Roman" w:hAnsi="Times New Roman" w:cs="Times New Roman"/>
                <w:sz w:val="20"/>
                <w:szCs w:val="20"/>
                <w:lang w:eastAsia="tr-TR"/>
              </w:rPr>
            </w:pPr>
            <w:proofErr w:type="spellStart"/>
            <w:r w:rsidRPr="00105805">
              <w:rPr>
                <w:rFonts w:ascii="Arial" w:eastAsia="Times New Roman" w:hAnsi="Arial" w:cs="Arial"/>
                <w:b/>
                <w:bCs/>
                <w:color w:val="7F0000"/>
                <w:sz w:val="20"/>
                <w:szCs w:val="20"/>
                <w:lang w:eastAsia="tr-TR"/>
              </w:rPr>
              <w:t>Ulke</w:t>
            </w:r>
            <w:proofErr w:type="spellEnd"/>
          </w:p>
        </w:tc>
        <w:tc>
          <w:tcPr>
            <w:tcW w:w="422" w:type="pct"/>
            <w:hideMark/>
          </w:tcPr>
          <w:p w:rsidR="00491E09" w:rsidRPr="00105805" w:rsidRDefault="00491E09" w:rsidP="00491E09">
            <w:pPr>
              <w:rPr>
                <w:rFonts w:cs="Times New Roman"/>
                <w:sz w:val="20"/>
                <w:szCs w:val="20"/>
              </w:rPr>
            </w:pPr>
          </w:p>
        </w:tc>
        <w:tc>
          <w:tcPr>
            <w:tcW w:w="423" w:type="pct"/>
            <w:vMerge w:val="restart"/>
            <w:hideMark/>
          </w:tcPr>
          <w:p w:rsidR="00491E09" w:rsidRPr="00105805" w:rsidRDefault="00491E09" w:rsidP="00491E09">
            <w:pPr>
              <w:spacing w:line="135" w:lineRule="atLeast"/>
              <w:rPr>
                <w:rFonts w:ascii="Times New Roman" w:eastAsia="Times New Roman" w:hAnsi="Times New Roman" w:cs="Times New Roman"/>
                <w:sz w:val="20"/>
                <w:szCs w:val="20"/>
                <w:lang w:eastAsia="tr-TR"/>
              </w:rPr>
            </w:pPr>
            <w:proofErr w:type="spellStart"/>
            <w:r w:rsidRPr="00105805">
              <w:rPr>
                <w:rFonts w:ascii="Arial" w:eastAsia="Times New Roman" w:hAnsi="Arial" w:cs="Arial"/>
                <w:b/>
                <w:bCs/>
                <w:color w:val="7F0000"/>
                <w:sz w:val="20"/>
                <w:szCs w:val="20"/>
                <w:lang w:eastAsia="tr-TR"/>
              </w:rPr>
              <w:t>Ulke</w:t>
            </w:r>
            <w:proofErr w:type="spellEnd"/>
            <w:r w:rsidRPr="00105805">
              <w:rPr>
                <w:rFonts w:ascii="Arial" w:eastAsia="Times New Roman" w:hAnsi="Arial" w:cs="Arial"/>
                <w:b/>
                <w:bCs/>
                <w:color w:val="7F0000"/>
                <w:sz w:val="20"/>
                <w:szCs w:val="20"/>
                <w:lang w:eastAsia="tr-TR"/>
              </w:rPr>
              <w:t> adı</w:t>
            </w:r>
          </w:p>
        </w:tc>
        <w:tc>
          <w:tcPr>
            <w:tcW w:w="423" w:type="pct"/>
            <w:hideMark/>
          </w:tcPr>
          <w:p w:rsidR="00491E09" w:rsidRPr="00105805" w:rsidRDefault="00491E09" w:rsidP="00491E09">
            <w:pPr>
              <w:rPr>
                <w:rFonts w:cs="Times New Roman"/>
                <w:sz w:val="20"/>
                <w:szCs w:val="20"/>
              </w:rPr>
            </w:pPr>
          </w:p>
        </w:tc>
        <w:tc>
          <w:tcPr>
            <w:tcW w:w="736" w:type="pct"/>
            <w:vMerge w:val="restart"/>
            <w:hideMark/>
          </w:tcPr>
          <w:p w:rsidR="00491E09" w:rsidRPr="00105805" w:rsidRDefault="00491E09" w:rsidP="00491E09">
            <w:pPr>
              <w:spacing w:line="135" w:lineRule="atLeast"/>
              <w:rPr>
                <w:rFonts w:ascii="Times New Roman" w:eastAsia="Times New Roman" w:hAnsi="Times New Roman" w:cs="Times New Roman"/>
                <w:sz w:val="20"/>
                <w:szCs w:val="20"/>
                <w:lang w:eastAsia="tr-TR"/>
              </w:rPr>
            </w:pPr>
            <w:r w:rsidRPr="00105805">
              <w:rPr>
                <w:rFonts w:ascii="Arial" w:eastAsia="Times New Roman" w:hAnsi="Arial" w:cs="Arial"/>
                <w:b/>
                <w:bCs/>
                <w:color w:val="7F0000"/>
                <w:sz w:val="20"/>
                <w:szCs w:val="20"/>
                <w:lang w:eastAsia="tr-TR"/>
              </w:rPr>
              <w:t>İhracat Dolar</w:t>
            </w:r>
          </w:p>
        </w:tc>
        <w:tc>
          <w:tcPr>
            <w:tcW w:w="422" w:type="pct"/>
            <w:hideMark/>
          </w:tcPr>
          <w:p w:rsidR="00491E09" w:rsidRPr="00105805" w:rsidRDefault="00491E09" w:rsidP="00491E09">
            <w:pPr>
              <w:rPr>
                <w:rFonts w:cs="Times New Roman"/>
                <w:sz w:val="20"/>
                <w:szCs w:val="20"/>
              </w:rPr>
            </w:pPr>
          </w:p>
        </w:tc>
        <w:tc>
          <w:tcPr>
            <w:tcW w:w="736" w:type="pct"/>
            <w:vMerge w:val="restart"/>
            <w:hideMark/>
          </w:tcPr>
          <w:p w:rsidR="00491E09" w:rsidRPr="00105805" w:rsidRDefault="00491E09" w:rsidP="00491E09">
            <w:pPr>
              <w:spacing w:line="135" w:lineRule="atLeast"/>
              <w:rPr>
                <w:rFonts w:ascii="Times New Roman" w:eastAsia="Times New Roman" w:hAnsi="Times New Roman" w:cs="Times New Roman"/>
                <w:sz w:val="20"/>
                <w:szCs w:val="20"/>
                <w:lang w:eastAsia="tr-TR"/>
              </w:rPr>
            </w:pPr>
            <w:r w:rsidRPr="00105805">
              <w:rPr>
                <w:rFonts w:ascii="Arial" w:eastAsia="Times New Roman" w:hAnsi="Arial" w:cs="Arial"/>
                <w:b/>
                <w:bCs/>
                <w:color w:val="7F0000"/>
                <w:sz w:val="20"/>
                <w:szCs w:val="20"/>
                <w:lang w:eastAsia="tr-TR"/>
              </w:rPr>
              <w:t>İthalat Dolar</w:t>
            </w:r>
          </w:p>
        </w:tc>
        <w:tc>
          <w:tcPr>
            <w:tcW w:w="422" w:type="pct"/>
            <w:hideMark/>
          </w:tcPr>
          <w:p w:rsidR="00491E09" w:rsidRPr="00105805" w:rsidRDefault="00491E09" w:rsidP="00491E09">
            <w:pPr>
              <w:rPr>
                <w:rFonts w:cs="Times New Roman"/>
                <w:sz w:val="20"/>
                <w:szCs w:val="20"/>
              </w:rPr>
            </w:pPr>
          </w:p>
        </w:tc>
        <w:tc>
          <w:tcPr>
            <w:tcW w:w="155" w:type="pct"/>
            <w:vMerge w:val="restart"/>
            <w:hideMark/>
          </w:tcPr>
          <w:p w:rsidR="00491E09" w:rsidRPr="00105805" w:rsidRDefault="00491E09" w:rsidP="00491E09">
            <w:pPr>
              <w:spacing w:line="135" w:lineRule="atLeast"/>
              <w:rPr>
                <w:rFonts w:ascii="Times New Roman" w:eastAsia="Times New Roman" w:hAnsi="Times New Roman" w:cs="Times New Roman"/>
                <w:sz w:val="20"/>
                <w:szCs w:val="20"/>
                <w:lang w:eastAsia="tr-TR"/>
              </w:rPr>
            </w:pPr>
            <w:r w:rsidRPr="00105805">
              <w:rPr>
                <w:rFonts w:ascii="Arial" w:eastAsia="Times New Roman" w:hAnsi="Arial" w:cs="Arial"/>
                <w:b/>
                <w:bCs/>
                <w:color w:val="7F0000"/>
                <w:sz w:val="20"/>
                <w:szCs w:val="20"/>
                <w:lang w:eastAsia="tr-TR"/>
              </w:rPr>
              <w:t> </w:t>
            </w:r>
          </w:p>
        </w:tc>
      </w:tr>
      <w:tr w:rsidR="00491E09" w:rsidRPr="00105805" w:rsidTr="00491E09">
        <w:trPr>
          <w:trHeight w:val="135"/>
          <w:tblCellSpacing w:w="0" w:type="dxa"/>
        </w:trPr>
        <w:tc>
          <w:tcPr>
            <w:tcW w:w="245" w:type="pct"/>
            <w:vMerge/>
            <w:vAlign w:val="center"/>
            <w:hideMark/>
          </w:tcPr>
          <w:p w:rsidR="00491E09" w:rsidRPr="00105805" w:rsidRDefault="00491E09" w:rsidP="00491E09">
            <w:pPr>
              <w:rPr>
                <w:rFonts w:ascii="Times New Roman" w:eastAsia="Times New Roman" w:hAnsi="Times New Roman" w:cs="Times New Roman"/>
                <w:sz w:val="20"/>
                <w:szCs w:val="20"/>
                <w:lang w:eastAsia="tr-TR"/>
              </w:rPr>
            </w:pPr>
          </w:p>
        </w:tc>
        <w:tc>
          <w:tcPr>
            <w:tcW w:w="422" w:type="pct"/>
            <w:hideMark/>
          </w:tcPr>
          <w:p w:rsidR="00491E09" w:rsidRPr="00105805" w:rsidRDefault="00491E09" w:rsidP="00491E09">
            <w:pPr>
              <w:rPr>
                <w:rFonts w:cs="Times New Roman"/>
                <w:sz w:val="20"/>
                <w:szCs w:val="20"/>
              </w:rPr>
            </w:pPr>
          </w:p>
        </w:tc>
        <w:tc>
          <w:tcPr>
            <w:tcW w:w="594" w:type="pct"/>
            <w:vMerge/>
            <w:vAlign w:val="center"/>
            <w:hideMark/>
          </w:tcPr>
          <w:p w:rsidR="00491E09" w:rsidRPr="00105805" w:rsidRDefault="00491E09" w:rsidP="00491E09">
            <w:pPr>
              <w:rPr>
                <w:rFonts w:ascii="Times New Roman" w:eastAsia="Times New Roman" w:hAnsi="Times New Roman" w:cs="Times New Roman"/>
                <w:sz w:val="20"/>
                <w:szCs w:val="20"/>
                <w:lang w:eastAsia="tr-TR"/>
              </w:rPr>
            </w:pPr>
          </w:p>
        </w:tc>
        <w:tc>
          <w:tcPr>
            <w:tcW w:w="422" w:type="pct"/>
            <w:hideMark/>
          </w:tcPr>
          <w:p w:rsidR="00491E09" w:rsidRPr="00105805" w:rsidRDefault="00491E09" w:rsidP="00491E09">
            <w:pPr>
              <w:rPr>
                <w:rFonts w:cs="Times New Roman"/>
                <w:sz w:val="20"/>
                <w:szCs w:val="20"/>
              </w:rPr>
            </w:pPr>
          </w:p>
        </w:tc>
        <w:tc>
          <w:tcPr>
            <w:tcW w:w="423" w:type="pct"/>
            <w:vMerge/>
            <w:vAlign w:val="center"/>
            <w:hideMark/>
          </w:tcPr>
          <w:p w:rsidR="00491E09" w:rsidRPr="00105805" w:rsidRDefault="00491E09" w:rsidP="00491E09">
            <w:pPr>
              <w:rPr>
                <w:rFonts w:ascii="Times New Roman" w:eastAsia="Times New Roman" w:hAnsi="Times New Roman" w:cs="Times New Roman"/>
                <w:sz w:val="20"/>
                <w:szCs w:val="20"/>
                <w:lang w:eastAsia="tr-TR"/>
              </w:rPr>
            </w:pPr>
          </w:p>
        </w:tc>
        <w:tc>
          <w:tcPr>
            <w:tcW w:w="423" w:type="pct"/>
            <w:hideMark/>
          </w:tcPr>
          <w:p w:rsidR="00491E09" w:rsidRPr="00105805" w:rsidRDefault="00491E09" w:rsidP="00491E09">
            <w:pPr>
              <w:rPr>
                <w:rFonts w:cs="Times New Roman"/>
                <w:sz w:val="20"/>
                <w:szCs w:val="20"/>
              </w:rPr>
            </w:pPr>
          </w:p>
        </w:tc>
        <w:tc>
          <w:tcPr>
            <w:tcW w:w="736" w:type="pct"/>
            <w:vMerge/>
            <w:vAlign w:val="center"/>
            <w:hideMark/>
          </w:tcPr>
          <w:p w:rsidR="00491E09" w:rsidRPr="00105805" w:rsidRDefault="00491E09" w:rsidP="00491E09">
            <w:pPr>
              <w:rPr>
                <w:rFonts w:ascii="Times New Roman" w:eastAsia="Times New Roman" w:hAnsi="Times New Roman" w:cs="Times New Roman"/>
                <w:sz w:val="20"/>
                <w:szCs w:val="20"/>
                <w:lang w:eastAsia="tr-TR"/>
              </w:rPr>
            </w:pPr>
          </w:p>
        </w:tc>
        <w:tc>
          <w:tcPr>
            <w:tcW w:w="422" w:type="pct"/>
            <w:hideMark/>
          </w:tcPr>
          <w:p w:rsidR="00491E09" w:rsidRPr="00105805" w:rsidRDefault="00491E09" w:rsidP="00491E09">
            <w:pPr>
              <w:rPr>
                <w:rFonts w:cs="Times New Roman"/>
                <w:sz w:val="20"/>
                <w:szCs w:val="20"/>
              </w:rPr>
            </w:pPr>
          </w:p>
        </w:tc>
        <w:tc>
          <w:tcPr>
            <w:tcW w:w="736" w:type="pct"/>
            <w:vMerge/>
            <w:vAlign w:val="center"/>
            <w:hideMark/>
          </w:tcPr>
          <w:p w:rsidR="00491E09" w:rsidRPr="00105805" w:rsidRDefault="00491E09" w:rsidP="00491E09">
            <w:pPr>
              <w:rPr>
                <w:rFonts w:ascii="Times New Roman" w:eastAsia="Times New Roman" w:hAnsi="Times New Roman" w:cs="Times New Roman"/>
                <w:sz w:val="20"/>
                <w:szCs w:val="20"/>
                <w:lang w:eastAsia="tr-TR"/>
              </w:rPr>
            </w:pPr>
          </w:p>
        </w:tc>
        <w:tc>
          <w:tcPr>
            <w:tcW w:w="422" w:type="pct"/>
            <w:hideMark/>
          </w:tcPr>
          <w:p w:rsidR="00491E09" w:rsidRPr="00105805" w:rsidRDefault="00491E09" w:rsidP="00491E09">
            <w:pPr>
              <w:rPr>
                <w:rFonts w:cs="Times New Roman"/>
                <w:sz w:val="20"/>
                <w:szCs w:val="20"/>
              </w:rPr>
            </w:pPr>
          </w:p>
        </w:tc>
        <w:tc>
          <w:tcPr>
            <w:tcW w:w="155" w:type="pct"/>
            <w:vMerge/>
            <w:vAlign w:val="center"/>
            <w:hideMark/>
          </w:tcPr>
          <w:p w:rsidR="00491E09" w:rsidRPr="00105805" w:rsidRDefault="00491E09" w:rsidP="00491E09">
            <w:pPr>
              <w:rPr>
                <w:rFonts w:ascii="Times New Roman" w:eastAsia="Times New Roman" w:hAnsi="Times New Roman" w:cs="Times New Roman"/>
                <w:sz w:val="20"/>
                <w:szCs w:val="20"/>
                <w:lang w:eastAsia="tr-TR"/>
              </w:rPr>
            </w:pPr>
          </w:p>
        </w:tc>
      </w:tr>
      <w:tr w:rsidR="00491E09" w:rsidRPr="00105805" w:rsidTr="00491E09">
        <w:trPr>
          <w:trHeight w:val="135"/>
          <w:tblCellSpacing w:w="0" w:type="dxa"/>
        </w:trPr>
        <w:tc>
          <w:tcPr>
            <w:tcW w:w="245" w:type="pct"/>
            <w:hideMark/>
          </w:tcPr>
          <w:p w:rsidR="00491E09" w:rsidRPr="00105805" w:rsidRDefault="00491E09" w:rsidP="00491E09">
            <w:pPr>
              <w:rPr>
                <w:rFonts w:ascii="Times New Roman" w:eastAsia="Times New Roman" w:hAnsi="Times New Roman" w:cs="Times New Roman"/>
                <w:sz w:val="20"/>
                <w:szCs w:val="20"/>
                <w:lang w:eastAsia="tr-TR"/>
              </w:rPr>
            </w:pPr>
            <w:r w:rsidRPr="00105805">
              <w:rPr>
                <w:rFonts w:ascii="Arial" w:eastAsia="Times New Roman" w:hAnsi="Arial" w:cs="Arial"/>
                <w:sz w:val="20"/>
                <w:szCs w:val="20"/>
                <w:lang w:eastAsia="tr-TR"/>
              </w:rPr>
              <w:t>2013</w:t>
            </w:r>
          </w:p>
        </w:tc>
        <w:tc>
          <w:tcPr>
            <w:tcW w:w="422" w:type="pct"/>
            <w:hideMark/>
          </w:tcPr>
          <w:p w:rsidR="00491E09" w:rsidRPr="00105805" w:rsidRDefault="00491E09" w:rsidP="00491E09">
            <w:pPr>
              <w:rPr>
                <w:rFonts w:cs="Times New Roman"/>
                <w:sz w:val="20"/>
                <w:szCs w:val="20"/>
              </w:rPr>
            </w:pPr>
          </w:p>
        </w:tc>
        <w:tc>
          <w:tcPr>
            <w:tcW w:w="594" w:type="pct"/>
            <w:hideMark/>
          </w:tcPr>
          <w:p w:rsidR="00491E09" w:rsidRPr="00105805" w:rsidRDefault="00491E09" w:rsidP="00491E09">
            <w:pPr>
              <w:spacing w:line="135" w:lineRule="atLeast"/>
              <w:rPr>
                <w:rFonts w:ascii="Times New Roman" w:eastAsia="Times New Roman" w:hAnsi="Times New Roman" w:cs="Times New Roman"/>
                <w:sz w:val="20"/>
                <w:szCs w:val="20"/>
                <w:lang w:eastAsia="tr-TR"/>
              </w:rPr>
            </w:pPr>
            <w:r w:rsidRPr="00105805">
              <w:rPr>
                <w:rFonts w:ascii="Arial" w:eastAsia="Times New Roman" w:hAnsi="Arial" w:cs="Arial"/>
                <w:sz w:val="20"/>
                <w:szCs w:val="20"/>
                <w:lang w:eastAsia="tr-TR"/>
              </w:rPr>
              <w:t>647</w:t>
            </w:r>
          </w:p>
        </w:tc>
        <w:tc>
          <w:tcPr>
            <w:tcW w:w="422" w:type="pct"/>
            <w:hideMark/>
          </w:tcPr>
          <w:p w:rsidR="00491E09" w:rsidRPr="00105805" w:rsidRDefault="00491E09" w:rsidP="00491E09">
            <w:pPr>
              <w:rPr>
                <w:rFonts w:cs="Times New Roman"/>
                <w:sz w:val="20"/>
                <w:szCs w:val="20"/>
              </w:rPr>
            </w:pPr>
          </w:p>
        </w:tc>
        <w:tc>
          <w:tcPr>
            <w:tcW w:w="423" w:type="pct"/>
            <w:hideMark/>
          </w:tcPr>
          <w:p w:rsidR="00491E09" w:rsidRPr="00105805" w:rsidRDefault="00491E09" w:rsidP="00491E09">
            <w:pPr>
              <w:spacing w:line="135" w:lineRule="atLeast"/>
              <w:rPr>
                <w:rFonts w:ascii="Times New Roman" w:eastAsia="Times New Roman" w:hAnsi="Times New Roman" w:cs="Times New Roman"/>
                <w:sz w:val="20"/>
                <w:szCs w:val="20"/>
                <w:lang w:eastAsia="tr-TR"/>
              </w:rPr>
            </w:pPr>
            <w:r w:rsidRPr="00105805">
              <w:rPr>
                <w:rFonts w:ascii="Arial" w:eastAsia="Times New Roman" w:hAnsi="Arial" w:cs="Arial"/>
                <w:sz w:val="20"/>
                <w:szCs w:val="20"/>
                <w:lang w:eastAsia="tr-TR"/>
              </w:rPr>
              <w:t>BAE</w:t>
            </w:r>
          </w:p>
        </w:tc>
        <w:tc>
          <w:tcPr>
            <w:tcW w:w="423" w:type="pct"/>
            <w:hideMark/>
          </w:tcPr>
          <w:p w:rsidR="00491E09" w:rsidRPr="00105805" w:rsidRDefault="00491E09" w:rsidP="00491E09">
            <w:pPr>
              <w:rPr>
                <w:rFonts w:cs="Times New Roman"/>
                <w:sz w:val="20"/>
                <w:szCs w:val="20"/>
              </w:rPr>
            </w:pPr>
          </w:p>
        </w:tc>
        <w:tc>
          <w:tcPr>
            <w:tcW w:w="736" w:type="pct"/>
            <w:hideMark/>
          </w:tcPr>
          <w:p w:rsidR="00491E09" w:rsidRPr="00105805" w:rsidRDefault="00491E09" w:rsidP="00491E09">
            <w:pPr>
              <w:spacing w:line="135" w:lineRule="atLeast"/>
              <w:rPr>
                <w:rFonts w:ascii="Times New Roman" w:eastAsia="Times New Roman" w:hAnsi="Times New Roman" w:cs="Times New Roman"/>
                <w:sz w:val="20"/>
                <w:szCs w:val="20"/>
                <w:lang w:eastAsia="tr-TR"/>
              </w:rPr>
            </w:pPr>
            <w:r w:rsidRPr="00105805">
              <w:rPr>
                <w:rFonts w:ascii="Arial" w:eastAsia="Times New Roman" w:hAnsi="Arial" w:cs="Arial"/>
                <w:sz w:val="20"/>
                <w:szCs w:val="20"/>
                <w:lang w:eastAsia="tr-TR"/>
              </w:rPr>
              <w:t> 4.965.938.828</w:t>
            </w:r>
          </w:p>
        </w:tc>
        <w:tc>
          <w:tcPr>
            <w:tcW w:w="422" w:type="pct"/>
            <w:hideMark/>
          </w:tcPr>
          <w:p w:rsidR="00491E09" w:rsidRPr="00105805" w:rsidRDefault="00491E09" w:rsidP="00491E09">
            <w:pPr>
              <w:rPr>
                <w:rFonts w:cs="Times New Roman"/>
                <w:sz w:val="20"/>
                <w:szCs w:val="20"/>
              </w:rPr>
            </w:pPr>
          </w:p>
        </w:tc>
        <w:tc>
          <w:tcPr>
            <w:tcW w:w="736" w:type="pct"/>
            <w:hideMark/>
          </w:tcPr>
          <w:p w:rsidR="00491E09" w:rsidRPr="00105805" w:rsidRDefault="00491E09" w:rsidP="00491E09">
            <w:pPr>
              <w:spacing w:line="135" w:lineRule="atLeast"/>
              <w:rPr>
                <w:rFonts w:ascii="Times New Roman" w:eastAsia="Times New Roman" w:hAnsi="Times New Roman" w:cs="Times New Roman"/>
                <w:sz w:val="20"/>
                <w:szCs w:val="20"/>
                <w:lang w:eastAsia="tr-TR"/>
              </w:rPr>
            </w:pPr>
            <w:r w:rsidRPr="00105805">
              <w:rPr>
                <w:rFonts w:ascii="Arial" w:eastAsia="Times New Roman" w:hAnsi="Arial" w:cs="Arial"/>
                <w:sz w:val="20"/>
                <w:szCs w:val="20"/>
                <w:lang w:eastAsia="tr-TR"/>
              </w:rPr>
              <w:t> 5.384.468.281</w:t>
            </w:r>
          </w:p>
        </w:tc>
        <w:tc>
          <w:tcPr>
            <w:tcW w:w="422" w:type="pct"/>
            <w:hideMark/>
          </w:tcPr>
          <w:p w:rsidR="00491E09" w:rsidRPr="00105805" w:rsidRDefault="00491E09" w:rsidP="00491E09">
            <w:pPr>
              <w:rPr>
                <w:rFonts w:cs="Times New Roman"/>
                <w:sz w:val="20"/>
                <w:szCs w:val="20"/>
              </w:rPr>
            </w:pPr>
          </w:p>
        </w:tc>
        <w:tc>
          <w:tcPr>
            <w:tcW w:w="155" w:type="pct"/>
            <w:hideMark/>
          </w:tcPr>
          <w:p w:rsidR="00491E09" w:rsidRPr="00105805" w:rsidRDefault="00491E09" w:rsidP="00491E09">
            <w:pPr>
              <w:spacing w:line="135" w:lineRule="atLeast"/>
              <w:rPr>
                <w:rFonts w:ascii="Times New Roman" w:eastAsia="Times New Roman" w:hAnsi="Times New Roman" w:cs="Times New Roman"/>
                <w:sz w:val="20"/>
                <w:szCs w:val="20"/>
                <w:lang w:eastAsia="tr-TR"/>
              </w:rPr>
            </w:pPr>
            <w:r w:rsidRPr="00105805">
              <w:rPr>
                <w:rFonts w:ascii="Arial" w:eastAsia="Times New Roman" w:hAnsi="Arial" w:cs="Arial"/>
                <w:sz w:val="20"/>
                <w:szCs w:val="20"/>
                <w:lang w:eastAsia="tr-TR"/>
              </w:rPr>
              <w:t> </w:t>
            </w:r>
          </w:p>
        </w:tc>
      </w:tr>
      <w:tr w:rsidR="00491E09" w:rsidRPr="00105805" w:rsidTr="00491E09">
        <w:trPr>
          <w:trHeight w:val="135"/>
          <w:tblCellSpacing w:w="0" w:type="dxa"/>
        </w:trPr>
        <w:tc>
          <w:tcPr>
            <w:tcW w:w="667" w:type="pct"/>
            <w:gridSpan w:val="2"/>
            <w:hideMark/>
          </w:tcPr>
          <w:p w:rsidR="00491E09" w:rsidRPr="00105805" w:rsidRDefault="00491E09" w:rsidP="00491E09">
            <w:pPr>
              <w:rPr>
                <w:rFonts w:cs="Times New Roman"/>
                <w:sz w:val="20"/>
                <w:szCs w:val="20"/>
              </w:rPr>
            </w:pPr>
          </w:p>
        </w:tc>
        <w:tc>
          <w:tcPr>
            <w:tcW w:w="594" w:type="pct"/>
            <w:hideMark/>
          </w:tcPr>
          <w:p w:rsidR="00491E09" w:rsidRPr="00105805" w:rsidRDefault="00491E09" w:rsidP="00491E09">
            <w:pPr>
              <w:spacing w:line="135" w:lineRule="atLeast"/>
              <w:rPr>
                <w:rFonts w:ascii="Times New Roman" w:eastAsia="Times New Roman" w:hAnsi="Times New Roman" w:cs="Times New Roman"/>
                <w:sz w:val="20"/>
                <w:szCs w:val="20"/>
                <w:lang w:eastAsia="tr-TR"/>
              </w:rPr>
            </w:pPr>
            <w:r w:rsidRPr="00105805">
              <w:rPr>
                <w:rFonts w:ascii="Arial" w:eastAsia="Times New Roman" w:hAnsi="Arial" w:cs="Arial"/>
                <w:b/>
                <w:bCs/>
                <w:sz w:val="20"/>
                <w:szCs w:val="20"/>
                <w:lang w:eastAsia="tr-TR"/>
              </w:rPr>
              <w:t>Yıl toplamı:</w:t>
            </w:r>
          </w:p>
        </w:tc>
        <w:tc>
          <w:tcPr>
            <w:tcW w:w="1268" w:type="pct"/>
            <w:gridSpan w:val="3"/>
            <w:hideMark/>
          </w:tcPr>
          <w:p w:rsidR="00491E09" w:rsidRPr="00105805" w:rsidRDefault="00491E09" w:rsidP="00491E09">
            <w:pPr>
              <w:rPr>
                <w:rFonts w:cs="Times New Roman"/>
                <w:sz w:val="20"/>
                <w:szCs w:val="20"/>
              </w:rPr>
            </w:pPr>
          </w:p>
        </w:tc>
        <w:tc>
          <w:tcPr>
            <w:tcW w:w="736" w:type="pct"/>
            <w:hideMark/>
          </w:tcPr>
          <w:p w:rsidR="00491E09" w:rsidRPr="00105805" w:rsidRDefault="00491E09" w:rsidP="00491E09">
            <w:pPr>
              <w:spacing w:line="135" w:lineRule="atLeast"/>
              <w:rPr>
                <w:rFonts w:ascii="Times New Roman" w:eastAsia="Times New Roman" w:hAnsi="Times New Roman" w:cs="Times New Roman"/>
                <w:sz w:val="20"/>
                <w:szCs w:val="20"/>
                <w:lang w:eastAsia="tr-TR"/>
              </w:rPr>
            </w:pPr>
            <w:r w:rsidRPr="00105805">
              <w:rPr>
                <w:rFonts w:ascii="Arial" w:eastAsia="Times New Roman" w:hAnsi="Arial" w:cs="Arial"/>
                <w:b/>
                <w:bCs/>
                <w:sz w:val="20"/>
                <w:szCs w:val="20"/>
                <w:lang w:eastAsia="tr-TR"/>
              </w:rPr>
              <w:t> 4.965.938.828</w:t>
            </w:r>
          </w:p>
        </w:tc>
        <w:tc>
          <w:tcPr>
            <w:tcW w:w="422" w:type="pct"/>
            <w:hideMark/>
          </w:tcPr>
          <w:p w:rsidR="00491E09" w:rsidRPr="00105805" w:rsidRDefault="00491E09" w:rsidP="00491E09">
            <w:pPr>
              <w:rPr>
                <w:rFonts w:cs="Times New Roman"/>
                <w:sz w:val="20"/>
                <w:szCs w:val="20"/>
              </w:rPr>
            </w:pPr>
          </w:p>
        </w:tc>
        <w:tc>
          <w:tcPr>
            <w:tcW w:w="736" w:type="pct"/>
            <w:hideMark/>
          </w:tcPr>
          <w:p w:rsidR="00491E09" w:rsidRPr="00105805" w:rsidRDefault="00491E09" w:rsidP="00491E09">
            <w:pPr>
              <w:spacing w:line="135" w:lineRule="atLeast"/>
              <w:rPr>
                <w:rFonts w:ascii="Times New Roman" w:eastAsia="Times New Roman" w:hAnsi="Times New Roman" w:cs="Times New Roman"/>
                <w:sz w:val="20"/>
                <w:szCs w:val="20"/>
                <w:lang w:eastAsia="tr-TR"/>
              </w:rPr>
            </w:pPr>
            <w:r w:rsidRPr="00105805">
              <w:rPr>
                <w:rFonts w:ascii="Arial" w:eastAsia="Times New Roman" w:hAnsi="Arial" w:cs="Arial"/>
                <w:b/>
                <w:bCs/>
                <w:sz w:val="20"/>
                <w:szCs w:val="20"/>
                <w:lang w:eastAsia="tr-TR"/>
              </w:rPr>
              <w:t> 5.384.468.281</w:t>
            </w:r>
          </w:p>
        </w:tc>
        <w:tc>
          <w:tcPr>
            <w:tcW w:w="422" w:type="pct"/>
            <w:hideMark/>
          </w:tcPr>
          <w:p w:rsidR="00491E09" w:rsidRPr="00105805" w:rsidRDefault="00491E09" w:rsidP="00491E09">
            <w:pPr>
              <w:rPr>
                <w:rFonts w:cs="Times New Roman"/>
                <w:sz w:val="20"/>
                <w:szCs w:val="20"/>
              </w:rPr>
            </w:pPr>
          </w:p>
        </w:tc>
        <w:tc>
          <w:tcPr>
            <w:tcW w:w="155" w:type="pct"/>
            <w:hideMark/>
          </w:tcPr>
          <w:p w:rsidR="00491E09" w:rsidRPr="00105805" w:rsidRDefault="00491E09" w:rsidP="00491E09">
            <w:pPr>
              <w:spacing w:line="135" w:lineRule="atLeast"/>
              <w:rPr>
                <w:rFonts w:ascii="Times New Roman" w:eastAsia="Times New Roman" w:hAnsi="Times New Roman" w:cs="Times New Roman"/>
                <w:sz w:val="20"/>
                <w:szCs w:val="20"/>
                <w:lang w:eastAsia="tr-TR"/>
              </w:rPr>
            </w:pPr>
            <w:r w:rsidRPr="00105805">
              <w:rPr>
                <w:rFonts w:ascii="Arial" w:eastAsia="Times New Roman" w:hAnsi="Arial" w:cs="Arial"/>
                <w:b/>
                <w:bCs/>
                <w:sz w:val="20"/>
                <w:szCs w:val="20"/>
                <w:lang w:eastAsia="tr-TR"/>
              </w:rPr>
              <w:t> </w:t>
            </w:r>
          </w:p>
        </w:tc>
      </w:tr>
    </w:tbl>
    <w:p w:rsidR="00491E09" w:rsidRPr="00105805" w:rsidRDefault="00491E09">
      <w:pPr>
        <w:rPr>
          <w:sz w:val="20"/>
          <w:szCs w:val="20"/>
        </w:rPr>
      </w:pPr>
    </w:p>
    <w:p w:rsidR="00491E09" w:rsidRPr="00105805" w:rsidRDefault="00491E09" w:rsidP="00491E09">
      <w:pPr>
        <w:rPr>
          <w:sz w:val="20"/>
          <w:szCs w:val="20"/>
        </w:rPr>
      </w:pPr>
      <w:r w:rsidRPr="00105805">
        <w:rPr>
          <w:sz w:val="20"/>
          <w:szCs w:val="20"/>
        </w:rPr>
        <w:t>Türkiye - Birleşik Arap Emirlikleri Dış Ticaret Rakamları:</w:t>
      </w:r>
    </w:p>
    <w:p w:rsidR="00491E09" w:rsidRPr="00105805" w:rsidRDefault="00491E09">
      <w:pPr>
        <w:rPr>
          <w:sz w:val="20"/>
          <w:szCs w:val="20"/>
        </w:rPr>
      </w:pPr>
    </w:p>
    <w:p w:rsidR="00491E09" w:rsidRPr="00105805" w:rsidRDefault="00491E09">
      <w:pPr>
        <w:rPr>
          <w:sz w:val="20"/>
          <w:szCs w:val="20"/>
        </w:rPr>
      </w:pPr>
    </w:p>
    <w:p w:rsidR="00491E09" w:rsidRPr="00105805" w:rsidRDefault="00491E09">
      <w:pPr>
        <w:rPr>
          <w:sz w:val="20"/>
          <w:szCs w:val="20"/>
        </w:rPr>
      </w:pPr>
      <w:r w:rsidRPr="00105805">
        <w:rPr>
          <w:sz w:val="20"/>
          <w:szCs w:val="20"/>
        </w:rPr>
        <w:t>Kayseri -  Birleşik Arap Emirlikleri Dış Ticaret Rakamları:</w:t>
      </w:r>
    </w:p>
    <w:p w:rsidR="00491E09" w:rsidRPr="00105805" w:rsidRDefault="00491E09">
      <w:pPr>
        <w:rPr>
          <w:sz w:val="20"/>
          <w:szCs w:val="20"/>
        </w:rPr>
      </w:pPr>
    </w:p>
    <w:tbl>
      <w:tblPr>
        <w:tblpPr w:leftFromText="141" w:rightFromText="141" w:vertAnchor="text" w:horzAnchor="margin" w:tblpY="78"/>
        <w:tblW w:w="5000" w:type="pct"/>
        <w:tblCellSpacing w:w="0" w:type="dxa"/>
        <w:tblCellMar>
          <w:left w:w="0" w:type="dxa"/>
          <w:right w:w="0" w:type="dxa"/>
        </w:tblCellMar>
        <w:tblLook w:val="04A0" w:firstRow="1" w:lastRow="0" w:firstColumn="1" w:lastColumn="0" w:noHBand="0" w:noVBand="1"/>
      </w:tblPr>
      <w:tblGrid>
        <w:gridCol w:w="445"/>
        <w:gridCol w:w="6"/>
        <w:gridCol w:w="1290"/>
        <w:gridCol w:w="6"/>
        <w:gridCol w:w="1634"/>
        <w:gridCol w:w="6"/>
        <w:gridCol w:w="667"/>
        <w:gridCol w:w="6"/>
        <w:gridCol w:w="712"/>
        <w:gridCol w:w="6"/>
        <w:gridCol w:w="767"/>
        <w:gridCol w:w="6"/>
        <w:gridCol w:w="1223"/>
        <w:gridCol w:w="6"/>
        <w:gridCol w:w="1156"/>
        <w:gridCol w:w="6"/>
        <w:gridCol w:w="56"/>
        <w:gridCol w:w="6"/>
        <w:gridCol w:w="56"/>
        <w:gridCol w:w="6"/>
        <w:gridCol w:w="56"/>
        <w:gridCol w:w="6"/>
        <w:gridCol w:w="18"/>
        <w:gridCol w:w="445"/>
        <w:gridCol w:w="475"/>
        <w:gridCol w:w="6"/>
      </w:tblGrid>
      <w:tr w:rsidR="00491E09" w:rsidRPr="00105805" w:rsidTr="00491E09">
        <w:trPr>
          <w:trHeight w:val="135"/>
          <w:tblCellSpacing w:w="0" w:type="dxa"/>
        </w:trPr>
        <w:tc>
          <w:tcPr>
            <w:tcW w:w="245" w:type="pct"/>
            <w:vMerge w:val="restar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r w:rsidRPr="00105805">
              <w:rPr>
                <w:rFonts w:ascii="Arial" w:eastAsia="Times New Roman" w:hAnsi="Arial" w:cs="Arial"/>
                <w:b/>
                <w:bCs/>
                <w:color w:val="7F0000"/>
                <w:sz w:val="20"/>
                <w:szCs w:val="20"/>
                <w:lang w:eastAsia="tr-TR"/>
              </w:rPr>
              <w:t>Y</w:t>
            </w:r>
            <w:r w:rsidRPr="00491E09">
              <w:rPr>
                <w:rFonts w:ascii="Arial" w:eastAsia="Times New Roman" w:hAnsi="Arial" w:cs="Arial"/>
                <w:b/>
                <w:bCs/>
                <w:color w:val="7F0000"/>
                <w:sz w:val="20"/>
                <w:szCs w:val="20"/>
                <w:lang w:eastAsia="tr-TR"/>
              </w:rPr>
              <w:t>ıl</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711" w:type="pct"/>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b/>
                <w:bCs/>
                <w:color w:val="7F0000"/>
                <w:sz w:val="20"/>
                <w:szCs w:val="20"/>
                <w:lang w:eastAsia="tr-TR"/>
              </w:rPr>
              <w:t>IBBS Düzey 1</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901" w:type="pct"/>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b/>
                <w:bCs/>
                <w:color w:val="7F0000"/>
                <w:sz w:val="20"/>
                <w:szCs w:val="20"/>
                <w:lang w:eastAsia="tr-TR"/>
              </w:rPr>
              <w:t>IBBS </w:t>
            </w:r>
            <w:proofErr w:type="spellStart"/>
            <w:r w:rsidRPr="00491E09">
              <w:rPr>
                <w:rFonts w:ascii="Arial" w:eastAsia="Times New Roman" w:hAnsi="Arial" w:cs="Arial"/>
                <w:b/>
                <w:bCs/>
                <w:color w:val="7F0000"/>
                <w:sz w:val="20"/>
                <w:szCs w:val="20"/>
                <w:lang w:eastAsia="tr-TR"/>
              </w:rPr>
              <w:t>Duzey</w:t>
            </w:r>
            <w:proofErr w:type="spellEnd"/>
            <w:r w:rsidRPr="00491E09">
              <w:rPr>
                <w:rFonts w:ascii="Arial" w:eastAsia="Times New Roman" w:hAnsi="Arial" w:cs="Arial"/>
                <w:b/>
                <w:bCs/>
                <w:color w:val="7F0000"/>
                <w:sz w:val="20"/>
                <w:szCs w:val="20"/>
                <w:lang w:eastAsia="tr-TR"/>
              </w:rPr>
              <w:t> 1 adı</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68" w:type="pct"/>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b/>
                <w:bCs/>
                <w:color w:val="7F0000"/>
                <w:sz w:val="20"/>
                <w:szCs w:val="20"/>
                <w:lang w:eastAsia="tr-TR"/>
              </w:rPr>
              <w:t>İl</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92" w:type="pct"/>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b/>
                <w:bCs/>
                <w:color w:val="7F0000"/>
                <w:sz w:val="20"/>
                <w:szCs w:val="20"/>
                <w:lang w:eastAsia="tr-TR"/>
              </w:rPr>
              <w:t>Ülke</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423" w:type="pct"/>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b/>
                <w:bCs/>
                <w:color w:val="7F0000"/>
                <w:sz w:val="20"/>
                <w:szCs w:val="20"/>
                <w:lang w:eastAsia="tr-TR"/>
              </w:rPr>
              <w:t>Ülke adı</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674" w:type="pct"/>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b/>
                <w:bCs/>
                <w:color w:val="7F0000"/>
                <w:sz w:val="20"/>
                <w:szCs w:val="20"/>
                <w:lang w:eastAsia="tr-TR"/>
              </w:rPr>
              <w:t>İhracat Dolar</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637" w:type="pct"/>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b/>
                <w:bCs/>
                <w:color w:val="7F0000"/>
                <w:sz w:val="20"/>
                <w:szCs w:val="20"/>
                <w:lang w:eastAsia="tr-TR"/>
              </w:rPr>
              <w:t>İthalat Dolar</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1" w:type="pct"/>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b/>
                <w:bCs/>
                <w:color w:val="7F0000"/>
                <w:sz w:val="20"/>
                <w:szCs w:val="20"/>
                <w:lang w:eastAsia="tr-TR"/>
              </w:rPr>
              <w:t> </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1" w:type="pct"/>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b/>
                <w:bCs/>
                <w:color w:val="7F0000"/>
                <w:sz w:val="20"/>
                <w:szCs w:val="20"/>
                <w:lang w:eastAsia="tr-TR"/>
              </w:rPr>
              <w:t> </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1" w:type="pct"/>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b/>
                <w:bCs/>
                <w:color w:val="7F0000"/>
                <w:sz w:val="20"/>
                <w:szCs w:val="20"/>
                <w:lang w:eastAsia="tr-TR"/>
              </w:rPr>
              <w:t> </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517" w:type="pct"/>
            <w:gridSpan w:val="3"/>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b/>
                <w:bCs/>
                <w:color w:val="7F0000"/>
                <w:sz w:val="20"/>
                <w:szCs w:val="20"/>
                <w:lang w:eastAsia="tr-TR"/>
              </w:rPr>
              <w:t> </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r>
      <w:tr w:rsidR="00491E09" w:rsidRPr="00105805" w:rsidTr="00491E09">
        <w:trPr>
          <w:trHeight w:val="135"/>
          <w:tblCellSpacing w:w="0" w:type="dxa"/>
        </w:trPr>
        <w:tc>
          <w:tcPr>
            <w:tcW w:w="245" w:type="pct"/>
            <w:vMerge/>
            <w:vAlign w:val="center"/>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711"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901"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68"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92"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423"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674"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637"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1"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1"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1"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517" w:type="pct"/>
            <w:gridSpan w:val="3"/>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r>
      <w:tr w:rsidR="00491E09" w:rsidRPr="00105805" w:rsidTr="00491E09">
        <w:trPr>
          <w:trHeight w:val="135"/>
          <w:tblCellSpacing w:w="0" w:type="dxa"/>
        </w:trPr>
        <w:tc>
          <w:tcPr>
            <w:tcW w:w="245" w:type="pct"/>
            <w:vMerge/>
            <w:vAlign w:val="center"/>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711"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901"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68"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92"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423"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674"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637"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1"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1"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1"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517" w:type="pct"/>
            <w:gridSpan w:val="3"/>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r>
      <w:tr w:rsidR="00491E09" w:rsidRPr="00105805" w:rsidTr="00491E09">
        <w:trPr>
          <w:trHeight w:val="135"/>
          <w:tblCellSpacing w:w="0" w:type="dxa"/>
        </w:trPr>
        <w:tc>
          <w:tcPr>
            <w:tcW w:w="245" w:type="pct"/>
            <w:vMerge w:val="restar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r w:rsidRPr="00491E09">
              <w:rPr>
                <w:rFonts w:ascii="Arial" w:eastAsia="Times New Roman" w:hAnsi="Arial" w:cs="Arial"/>
                <w:sz w:val="20"/>
                <w:szCs w:val="20"/>
                <w:lang w:eastAsia="tr-TR"/>
              </w:rPr>
              <w:t>2013</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711" w:type="pct"/>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sz w:val="20"/>
                <w:szCs w:val="20"/>
                <w:lang w:eastAsia="tr-TR"/>
              </w:rPr>
              <w:t>TR7</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901" w:type="pct"/>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sz w:val="20"/>
                <w:szCs w:val="20"/>
                <w:lang w:eastAsia="tr-TR"/>
              </w:rPr>
              <w:t>Orta Anadolu</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68" w:type="pct"/>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sz w:val="20"/>
                <w:szCs w:val="20"/>
                <w:lang w:eastAsia="tr-TR"/>
              </w:rPr>
              <w:t>Kayseri</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92" w:type="pc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sz w:val="20"/>
                <w:szCs w:val="20"/>
                <w:lang w:eastAsia="tr-TR"/>
              </w:rPr>
              <w:t>647</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423" w:type="pct"/>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sz w:val="20"/>
                <w:szCs w:val="20"/>
                <w:lang w:eastAsia="tr-TR"/>
              </w:rPr>
              <w:t>BAE</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674" w:type="pct"/>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sz w:val="20"/>
                <w:szCs w:val="20"/>
                <w:lang w:eastAsia="tr-TR"/>
              </w:rPr>
              <w:t> 6.948.275</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637" w:type="pct"/>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sz w:val="20"/>
                <w:szCs w:val="20"/>
                <w:lang w:eastAsia="tr-TR"/>
              </w:rPr>
              <w:t> 595.650</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1" w:type="pct"/>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sz w:val="20"/>
                <w:szCs w:val="20"/>
                <w:lang w:eastAsia="tr-TR"/>
              </w:rPr>
              <w:t> </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1" w:type="pct"/>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sz w:val="20"/>
                <w:szCs w:val="20"/>
                <w:lang w:eastAsia="tr-TR"/>
              </w:rPr>
              <w:t> </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1" w:type="pct"/>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sz w:val="20"/>
                <w:szCs w:val="20"/>
                <w:lang w:eastAsia="tr-TR"/>
              </w:rPr>
              <w:t> </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517" w:type="pct"/>
            <w:gridSpan w:val="3"/>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sz w:val="20"/>
                <w:szCs w:val="20"/>
                <w:lang w:eastAsia="tr-TR"/>
              </w:rPr>
              <w:t> </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r>
      <w:tr w:rsidR="00491E09" w:rsidRPr="00105805" w:rsidTr="00491E09">
        <w:trPr>
          <w:trHeight w:val="135"/>
          <w:tblCellSpacing w:w="0" w:type="dxa"/>
        </w:trPr>
        <w:tc>
          <w:tcPr>
            <w:tcW w:w="245" w:type="pct"/>
            <w:vMerge/>
            <w:vAlign w:val="center"/>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711"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901"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68"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92" w:type="pct"/>
            <w:vMerge w:val="restar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b/>
                <w:bCs/>
                <w:sz w:val="20"/>
                <w:szCs w:val="20"/>
                <w:lang w:eastAsia="tr-TR"/>
              </w:rPr>
              <w:t>Toplam</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423"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674"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637"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1"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1"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1"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517" w:type="pct"/>
            <w:gridSpan w:val="3"/>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r>
      <w:tr w:rsidR="00491E09" w:rsidRPr="00105805" w:rsidTr="00491E09">
        <w:trPr>
          <w:trHeight w:val="135"/>
          <w:tblCellSpacing w:w="0" w:type="dxa"/>
        </w:trPr>
        <w:tc>
          <w:tcPr>
            <w:tcW w:w="2238" w:type="pct"/>
            <w:gridSpan w:val="8"/>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92" w:type="pct"/>
            <w:vMerge/>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429" w:type="pct"/>
            <w:gridSpan w:val="3"/>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674" w:type="pc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b/>
                <w:bCs/>
                <w:sz w:val="20"/>
                <w:szCs w:val="20"/>
                <w:lang w:eastAsia="tr-TR"/>
              </w:rPr>
              <w:t> 6.948.275</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637" w:type="pct"/>
            <w:hideMark/>
          </w:tcPr>
          <w:p w:rsidR="00491E09" w:rsidRPr="00491E09" w:rsidRDefault="00491E09" w:rsidP="00491E09">
            <w:pPr>
              <w:spacing w:after="0" w:line="135" w:lineRule="atLeast"/>
              <w:rPr>
                <w:rFonts w:ascii="Times New Roman" w:eastAsia="Times New Roman" w:hAnsi="Times New Roman" w:cs="Times New Roman"/>
                <w:sz w:val="20"/>
                <w:szCs w:val="20"/>
                <w:lang w:eastAsia="tr-TR"/>
              </w:rPr>
            </w:pPr>
            <w:r w:rsidRPr="00491E09">
              <w:rPr>
                <w:rFonts w:ascii="Arial" w:eastAsia="Times New Roman" w:hAnsi="Arial" w:cs="Arial"/>
                <w:b/>
                <w:bCs/>
                <w:sz w:val="20"/>
                <w:szCs w:val="20"/>
                <w:lang w:eastAsia="tr-TR"/>
              </w:rPr>
              <w:t> 595.650</w:t>
            </w: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1"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1"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1"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10"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245"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262"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c>
          <w:tcPr>
            <w:tcW w:w="3" w:type="pct"/>
            <w:hideMark/>
          </w:tcPr>
          <w:p w:rsidR="00491E09" w:rsidRPr="00491E09" w:rsidRDefault="00491E09" w:rsidP="00491E09">
            <w:pPr>
              <w:spacing w:after="0" w:line="240" w:lineRule="auto"/>
              <w:rPr>
                <w:rFonts w:ascii="Times New Roman" w:eastAsia="Times New Roman" w:hAnsi="Times New Roman" w:cs="Times New Roman"/>
                <w:sz w:val="20"/>
                <w:szCs w:val="20"/>
                <w:lang w:eastAsia="tr-TR"/>
              </w:rPr>
            </w:pPr>
          </w:p>
        </w:tc>
      </w:tr>
    </w:tbl>
    <w:p w:rsidR="00491E09" w:rsidRPr="00105805" w:rsidRDefault="00491E09" w:rsidP="00491E09">
      <w:pPr>
        <w:rPr>
          <w:sz w:val="20"/>
          <w:szCs w:val="20"/>
        </w:rPr>
      </w:pPr>
      <w:bookmarkStart w:id="0" w:name="_GoBack"/>
      <w:bookmarkEnd w:id="0"/>
    </w:p>
    <w:p w:rsidR="00491E09" w:rsidRPr="00105805" w:rsidRDefault="00491E09" w:rsidP="00491E09">
      <w:pPr>
        <w:rPr>
          <w:b/>
          <w:sz w:val="20"/>
          <w:szCs w:val="20"/>
        </w:rPr>
      </w:pPr>
      <w:r w:rsidRPr="00105805">
        <w:rPr>
          <w:b/>
          <w:sz w:val="20"/>
          <w:szCs w:val="20"/>
        </w:rPr>
        <w:t xml:space="preserve">Birleşik Arap Emirlikleri İle Ticaret Yapan Üyelerimiz </w:t>
      </w:r>
    </w:p>
    <w:tbl>
      <w:tblPr>
        <w:tblW w:w="9072" w:type="dxa"/>
        <w:tblInd w:w="70" w:type="dxa"/>
        <w:tblCellMar>
          <w:left w:w="70" w:type="dxa"/>
          <w:right w:w="70" w:type="dxa"/>
        </w:tblCellMar>
        <w:tblLook w:val="04A0" w:firstRow="1" w:lastRow="0" w:firstColumn="1" w:lastColumn="0" w:noHBand="0" w:noVBand="1"/>
      </w:tblPr>
      <w:tblGrid>
        <w:gridCol w:w="6237"/>
        <w:gridCol w:w="2835"/>
      </w:tblGrid>
      <w:tr w:rsidR="00491E09" w:rsidRPr="00105805" w:rsidTr="00105805">
        <w:trPr>
          <w:trHeight w:val="190"/>
        </w:trPr>
        <w:tc>
          <w:tcPr>
            <w:tcW w:w="6237"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 xml:space="preserve">SÜMER PLASTİK AMBALAJ SANAYİ </w:t>
            </w:r>
            <w:proofErr w:type="gramStart"/>
            <w:r w:rsidRPr="00105805">
              <w:rPr>
                <w:rFonts w:ascii="Arial TUR" w:eastAsia="Times New Roman" w:hAnsi="Arial TUR" w:cs="Times New Roman"/>
                <w:sz w:val="20"/>
                <w:szCs w:val="20"/>
                <w:lang w:eastAsia="tr-TR"/>
              </w:rPr>
              <w:t>TİCARET  VE</w:t>
            </w:r>
            <w:proofErr w:type="gramEnd"/>
            <w:r w:rsidRPr="00105805">
              <w:rPr>
                <w:rFonts w:ascii="Arial TUR" w:eastAsia="Times New Roman" w:hAnsi="Arial TUR" w:cs="Times New Roman"/>
                <w:sz w:val="20"/>
                <w:szCs w:val="20"/>
                <w:lang w:eastAsia="tr-TR"/>
              </w:rPr>
              <w:t xml:space="preserve"> PAZARLAMA LİMİTED ŞİRKETİ</w:t>
            </w:r>
          </w:p>
        </w:tc>
        <w:tc>
          <w:tcPr>
            <w:tcW w:w="2835"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POLİKARBONAT LEVHA</w:t>
            </w:r>
          </w:p>
        </w:tc>
      </w:tr>
      <w:tr w:rsidR="00491E09" w:rsidRPr="00105805" w:rsidTr="00105805">
        <w:trPr>
          <w:trHeight w:val="255"/>
        </w:trPr>
        <w:tc>
          <w:tcPr>
            <w:tcW w:w="6237"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İLKER KARAKAYA</w:t>
            </w:r>
          </w:p>
        </w:tc>
        <w:tc>
          <w:tcPr>
            <w:tcW w:w="2835"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SIVA MAKİNASI</w:t>
            </w:r>
          </w:p>
        </w:tc>
      </w:tr>
      <w:tr w:rsidR="00491E09" w:rsidRPr="00105805" w:rsidTr="00105805">
        <w:trPr>
          <w:trHeight w:val="255"/>
        </w:trPr>
        <w:tc>
          <w:tcPr>
            <w:tcW w:w="6237"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ATLANTİK PAZARLAMA VE DIŞ TİC. A.Ş.</w:t>
            </w:r>
          </w:p>
        </w:tc>
        <w:tc>
          <w:tcPr>
            <w:tcW w:w="2835"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MAKİNA HALISI</w:t>
            </w:r>
          </w:p>
        </w:tc>
      </w:tr>
      <w:tr w:rsidR="00491E09" w:rsidRPr="00105805" w:rsidTr="00105805">
        <w:trPr>
          <w:trHeight w:val="255"/>
        </w:trPr>
        <w:tc>
          <w:tcPr>
            <w:tcW w:w="6237"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KUMTEL DAYANIKLI TÜKETİM MALLARI PLASTİK SANAYİ VE TİCARET ANONİM ŞİRKETİ</w:t>
            </w:r>
          </w:p>
        </w:tc>
        <w:tc>
          <w:tcPr>
            <w:tcW w:w="2835"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TAMBOY FIRIN</w:t>
            </w:r>
          </w:p>
        </w:tc>
      </w:tr>
      <w:tr w:rsidR="00491E09" w:rsidRPr="00105805" w:rsidTr="00105805">
        <w:trPr>
          <w:trHeight w:val="255"/>
        </w:trPr>
        <w:tc>
          <w:tcPr>
            <w:tcW w:w="6237"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BAYTAŞ DIŞ TİCARET LİMİTED ŞİRKETİ</w:t>
            </w:r>
          </w:p>
        </w:tc>
        <w:tc>
          <w:tcPr>
            <w:tcW w:w="2835"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MOBİLYA</w:t>
            </w:r>
          </w:p>
        </w:tc>
      </w:tr>
      <w:tr w:rsidR="00491E09" w:rsidRPr="00105805" w:rsidTr="00105805">
        <w:trPr>
          <w:trHeight w:val="255"/>
        </w:trPr>
        <w:tc>
          <w:tcPr>
            <w:tcW w:w="6237"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RE-MA METAL TEKSTİL İNŞAAT GIDA SANAYİ VE TİCARET LİMİTED ŞİRKETİ</w:t>
            </w:r>
          </w:p>
        </w:tc>
        <w:tc>
          <w:tcPr>
            <w:tcW w:w="2835"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OCAKLI FIRIN</w:t>
            </w:r>
          </w:p>
        </w:tc>
      </w:tr>
      <w:tr w:rsidR="00491E09" w:rsidRPr="00105805" w:rsidTr="00105805">
        <w:trPr>
          <w:trHeight w:val="255"/>
        </w:trPr>
        <w:tc>
          <w:tcPr>
            <w:tcW w:w="6237"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 xml:space="preserve">HAS ÇELİK VE HALAT </w:t>
            </w:r>
            <w:proofErr w:type="gramStart"/>
            <w:r w:rsidRPr="00105805">
              <w:rPr>
                <w:rFonts w:ascii="Arial TUR" w:eastAsia="Times New Roman" w:hAnsi="Arial TUR" w:cs="Times New Roman"/>
                <w:sz w:val="20"/>
                <w:szCs w:val="20"/>
                <w:lang w:eastAsia="tr-TR"/>
              </w:rPr>
              <w:t>SAN.TİC.A</w:t>
            </w:r>
            <w:proofErr w:type="gramEnd"/>
            <w:r w:rsidRPr="00105805">
              <w:rPr>
                <w:rFonts w:ascii="Arial TUR" w:eastAsia="Times New Roman" w:hAnsi="Arial TUR" w:cs="Times New Roman"/>
                <w:sz w:val="20"/>
                <w:szCs w:val="20"/>
                <w:lang w:eastAsia="tr-TR"/>
              </w:rPr>
              <w:t>.Ş.</w:t>
            </w:r>
          </w:p>
        </w:tc>
        <w:tc>
          <w:tcPr>
            <w:tcW w:w="2835"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ÇELİK HALAT</w:t>
            </w:r>
          </w:p>
        </w:tc>
      </w:tr>
      <w:tr w:rsidR="00491E09" w:rsidRPr="00105805" w:rsidTr="00105805">
        <w:trPr>
          <w:trHeight w:val="255"/>
        </w:trPr>
        <w:tc>
          <w:tcPr>
            <w:tcW w:w="6237"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İPAR DIŞ TİCARET LİMİTED ŞİRKETİ</w:t>
            </w:r>
          </w:p>
        </w:tc>
        <w:tc>
          <w:tcPr>
            <w:tcW w:w="2835"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MOBİLYA</w:t>
            </w:r>
          </w:p>
        </w:tc>
      </w:tr>
      <w:tr w:rsidR="00491E09" w:rsidRPr="00105805" w:rsidTr="00105805">
        <w:trPr>
          <w:trHeight w:val="255"/>
        </w:trPr>
        <w:tc>
          <w:tcPr>
            <w:tcW w:w="6237"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LÜKS KADİFE TİCARET VE SANAYİ A.Ş.</w:t>
            </w:r>
          </w:p>
        </w:tc>
        <w:tc>
          <w:tcPr>
            <w:tcW w:w="2835"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POLSYESTER KADİFE KUMAŞ</w:t>
            </w:r>
          </w:p>
        </w:tc>
      </w:tr>
      <w:tr w:rsidR="00491E09" w:rsidRPr="00105805" w:rsidTr="00105805">
        <w:trPr>
          <w:trHeight w:val="255"/>
        </w:trPr>
        <w:tc>
          <w:tcPr>
            <w:tcW w:w="6237"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BERFA İÇ VE DIŞ TİCARET PAZARLAMA LTD. ŞTİ.</w:t>
            </w:r>
          </w:p>
        </w:tc>
        <w:tc>
          <w:tcPr>
            <w:tcW w:w="2835"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SERT KEÇE</w:t>
            </w:r>
          </w:p>
        </w:tc>
      </w:tr>
      <w:tr w:rsidR="00491E09" w:rsidRPr="00105805" w:rsidTr="00105805">
        <w:trPr>
          <w:trHeight w:val="255"/>
        </w:trPr>
        <w:tc>
          <w:tcPr>
            <w:tcW w:w="6237"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ERGÜL MOBİLYA EV TEKSTİLİ İNŞAAT SANAYİ TİCARET A.Ş.</w:t>
            </w:r>
          </w:p>
        </w:tc>
        <w:tc>
          <w:tcPr>
            <w:tcW w:w="2835"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MOBİLYA</w:t>
            </w:r>
          </w:p>
        </w:tc>
      </w:tr>
      <w:tr w:rsidR="00491E09" w:rsidRPr="00105805" w:rsidTr="00105805">
        <w:trPr>
          <w:trHeight w:val="255"/>
        </w:trPr>
        <w:tc>
          <w:tcPr>
            <w:tcW w:w="6237"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GÜLSOY GIDA SANAYİ VE TİCARET LTD.ŞTİ</w:t>
            </w:r>
          </w:p>
        </w:tc>
        <w:tc>
          <w:tcPr>
            <w:tcW w:w="2835" w:type="dxa"/>
            <w:tcBorders>
              <w:top w:val="nil"/>
              <w:left w:val="nil"/>
              <w:bottom w:val="nil"/>
              <w:right w:val="nil"/>
            </w:tcBorders>
            <w:shd w:val="clear" w:color="auto" w:fill="auto"/>
            <w:noWrap/>
            <w:vAlign w:val="center"/>
            <w:hideMark/>
          </w:tcPr>
          <w:p w:rsidR="00491E09" w:rsidRPr="00105805" w:rsidRDefault="00491E09" w:rsidP="00105805">
            <w:pPr>
              <w:spacing w:after="0" w:line="240" w:lineRule="auto"/>
              <w:rPr>
                <w:rFonts w:ascii="Arial TUR" w:eastAsia="Times New Roman" w:hAnsi="Arial TUR" w:cs="Times New Roman"/>
                <w:sz w:val="20"/>
                <w:szCs w:val="20"/>
                <w:lang w:eastAsia="tr-TR"/>
              </w:rPr>
            </w:pPr>
            <w:r w:rsidRPr="00105805">
              <w:rPr>
                <w:rFonts w:ascii="Arial TUR" w:eastAsia="Times New Roman" w:hAnsi="Arial TUR" w:cs="Times New Roman"/>
                <w:sz w:val="20"/>
                <w:szCs w:val="20"/>
                <w:lang w:eastAsia="tr-TR"/>
              </w:rPr>
              <w:t>ŞİŞELENMİŞ SU</w:t>
            </w:r>
          </w:p>
        </w:tc>
      </w:tr>
    </w:tbl>
    <w:p w:rsidR="00491E09" w:rsidRPr="00105805" w:rsidRDefault="00491E09" w:rsidP="00491E09">
      <w:pPr>
        <w:rPr>
          <w:sz w:val="20"/>
          <w:szCs w:val="20"/>
        </w:rPr>
      </w:pPr>
    </w:p>
    <w:p w:rsidR="00491E09" w:rsidRPr="00491E09" w:rsidRDefault="00491E09" w:rsidP="00110A4A">
      <w:pPr>
        <w:shd w:val="clear" w:color="auto" w:fill="FFFFFF"/>
        <w:spacing w:before="100" w:beforeAutospacing="1" w:after="100" w:afterAutospacing="1" w:line="270" w:lineRule="atLeast"/>
        <w:textAlignment w:val="center"/>
        <w:outlineLvl w:val="4"/>
        <w:rPr>
          <w:rFonts w:ascii="Verdana" w:eastAsia="Times New Roman" w:hAnsi="Verdana" w:cs="Tahoma"/>
          <w:b/>
          <w:bCs/>
          <w:color w:val="000000"/>
          <w:sz w:val="20"/>
          <w:szCs w:val="20"/>
          <w:lang w:eastAsia="tr-TR"/>
        </w:rPr>
      </w:pPr>
      <w:r w:rsidRPr="00491E09">
        <w:rPr>
          <w:rFonts w:ascii="Verdana" w:eastAsia="Times New Roman" w:hAnsi="Verdana" w:cs="Tahoma"/>
          <w:b/>
          <w:bCs/>
          <w:color w:val="000000"/>
          <w:sz w:val="20"/>
          <w:szCs w:val="20"/>
          <w:lang w:eastAsia="tr-TR"/>
        </w:rPr>
        <w:t>Genel Bilgiler</w:t>
      </w:r>
    </w:p>
    <w:p w:rsidR="00491E09" w:rsidRPr="00491E09" w:rsidRDefault="00491E09" w:rsidP="00110A4A">
      <w:pPr>
        <w:shd w:val="clear" w:color="auto" w:fill="FFFFFF"/>
        <w:spacing w:before="100" w:beforeAutospacing="1" w:after="100" w:afterAutospacing="1" w:line="240" w:lineRule="atLeast"/>
        <w:outlineLvl w:val="3"/>
        <w:rPr>
          <w:rFonts w:ascii="Verdana" w:eastAsia="Times New Roman" w:hAnsi="Verdana" w:cs="Tahoma"/>
          <w:b/>
          <w:bCs/>
          <w:color w:val="000000"/>
          <w:sz w:val="20"/>
          <w:szCs w:val="20"/>
          <w:lang w:eastAsia="tr-TR"/>
        </w:rPr>
      </w:pPr>
      <w:r w:rsidRPr="00491E09">
        <w:rPr>
          <w:rFonts w:ascii="Verdana" w:eastAsia="Times New Roman" w:hAnsi="Verdana" w:cs="Tahoma"/>
          <w:b/>
          <w:bCs/>
          <w:color w:val="000000"/>
          <w:sz w:val="20"/>
          <w:szCs w:val="20"/>
          <w:lang w:eastAsia="tr-TR"/>
        </w:rPr>
        <w:t>Coğrafi Konum</w:t>
      </w:r>
    </w:p>
    <w:p w:rsidR="00491E09" w:rsidRPr="00491E09" w:rsidRDefault="00491E09" w:rsidP="00110A4A">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Birleşik Arap Emirlikleri Arap Körfezi'nin ortasında yer almaktadır. Kuzeyden Arap Körfezi, batıdan Katar ve Suudi Arabistan Krallığı, güneyden Umman Sultanlığı ve Suudi Arabistan Krallığı ve doğudan Umman Körfezi'ne sınır komşusudur.</w:t>
      </w:r>
    </w:p>
    <w:p w:rsidR="00110A4A" w:rsidRDefault="00105805" w:rsidP="00105805">
      <w:pPr>
        <w:shd w:val="clear" w:color="auto" w:fill="FFFFFF"/>
        <w:spacing w:before="100" w:beforeAutospacing="1" w:after="100" w:afterAutospacing="1" w:line="240" w:lineRule="atLeast"/>
        <w:outlineLvl w:val="3"/>
        <w:rPr>
          <w:rFonts w:ascii="Verdana" w:eastAsia="Times New Roman" w:hAnsi="Verdana" w:cs="Tahoma"/>
          <w:b/>
          <w:bCs/>
          <w:color w:val="000000"/>
          <w:sz w:val="20"/>
          <w:szCs w:val="20"/>
          <w:lang w:eastAsia="tr-TR"/>
        </w:rPr>
      </w:pPr>
      <w:r w:rsidRPr="00105805">
        <w:rPr>
          <w:rFonts w:ascii="Verdana" w:eastAsia="Times New Roman" w:hAnsi="Verdana" w:cs="Tahoma"/>
          <w:b/>
          <w:bCs/>
          <w:color w:val="000000"/>
          <w:sz w:val="20"/>
          <w:szCs w:val="20"/>
          <w:lang w:eastAsia="tr-TR"/>
        </w:rPr>
        <w:t xml:space="preserve">            </w:t>
      </w:r>
    </w:p>
    <w:p w:rsidR="00491E09" w:rsidRPr="00491E09" w:rsidRDefault="00491E09" w:rsidP="00105805">
      <w:pPr>
        <w:shd w:val="clear" w:color="auto" w:fill="FFFFFF"/>
        <w:spacing w:before="100" w:beforeAutospacing="1" w:after="100" w:afterAutospacing="1" w:line="240" w:lineRule="atLeast"/>
        <w:outlineLvl w:val="3"/>
        <w:rPr>
          <w:rFonts w:ascii="Verdana" w:eastAsia="Times New Roman" w:hAnsi="Verdana" w:cs="Tahoma"/>
          <w:b/>
          <w:bCs/>
          <w:color w:val="000000"/>
          <w:sz w:val="20"/>
          <w:szCs w:val="20"/>
          <w:lang w:eastAsia="tr-TR"/>
        </w:rPr>
      </w:pPr>
      <w:r w:rsidRPr="00491E09">
        <w:rPr>
          <w:rFonts w:ascii="Verdana" w:eastAsia="Times New Roman" w:hAnsi="Verdana" w:cs="Tahoma"/>
          <w:b/>
          <w:bCs/>
          <w:color w:val="000000"/>
          <w:sz w:val="20"/>
          <w:szCs w:val="20"/>
          <w:lang w:eastAsia="tr-TR"/>
        </w:rPr>
        <w:t>Siyasi ve İdari Yapı</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lastRenderedPageBreak/>
        <w:t xml:space="preserve">Başkenti Abu </w:t>
      </w:r>
      <w:proofErr w:type="spellStart"/>
      <w:r w:rsidRPr="00491E09">
        <w:rPr>
          <w:rFonts w:ascii="Tahoma" w:eastAsia="Times New Roman" w:hAnsi="Tahoma" w:cs="Tahoma"/>
          <w:color w:val="111111"/>
          <w:sz w:val="20"/>
          <w:szCs w:val="20"/>
          <w:lang w:eastAsia="tr-TR"/>
        </w:rPr>
        <w:t>Dhabi</w:t>
      </w:r>
      <w:proofErr w:type="spellEnd"/>
      <w:r w:rsidRPr="00491E09">
        <w:rPr>
          <w:rFonts w:ascii="Tahoma" w:eastAsia="Times New Roman" w:hAnsi="Tahoma" w:cs="Tahoma"/>
          <w:color w:val="111111"/>
          <w:sz w:val="20"/>
          <w:szCs w:val="20"/>
          <w:lang w:eastAsia="tr-TR"/>
        </w:rPr>
        <w:t xml:space="preserve"> olan Birleşik Arap Emirlikleri, yedi emirlikten meydana gelen bir federasyondur. (Abu </w:t>
      </w:r>
      <w:proofErr w:type="spellStart"/>
      <w:r w:rsidRPr="00491E09">
        <w:rPr>
          <w:rFonts w:ascii="Tahoma" w:eastAsia="Times New Roman" w:hAnsi="Tahoma" w:cs="Tahoma"/>
          <w:color w:val="111111"/>
          <w:sz w:val="20"/>
          <w:szCs w:val="20"/>
          <w:lang w:eastAsia="tr-TR"/>
        </w:rPr>
        <w:t>Dhabi</w:t>
      </w:r>
      <w:proofErr w:type="spellEnd"/>
      <w:r w:rsidRPr="00491E09">
        <w:rPr>
          <w:rFonts w:ascii="Tahoma" w:eastAsia="Times New Roman" w:hAnsi="Tahoma" w:cs="Tahoma"/>
          <w:color w:val="111111"/>
          <w:sz w:val="20"/>
          <w:szCs w:val="20"/>
          <w:lang w:eastAsia="tr-TR"/>
        </w:rPr>
        <w:t xml:space="preserve">, Dubai, </w:t>
      </w:r>
      <w:proofErr w:type="spellStart"/>
      <w:r w:rsidRPr="00491E09">
        <w:rPr>
          <w:rFonts w:ascii="Tahoma" w:eastAsia="Times New Roman" w:hAnsi="Tahoma" w:cs="Tahoma"/>
          <w:color w:val="111111"/>
          <w:sz w:val="20"/>
          <w:szCs w:val="20"/>
          <w:lang w:eastAsia="tr-TR"/>
        </w:rPr>
        <w:t>Şarjah</w:t>
      </w:r>
      <w:proofErr w:type="spellEnd"/>
      <w:r w:rsidRPr="00491E09">
        <w:rPr>
          <w:rFonts w:ascii="Tahoma" w:eastAsia="Times New Roman" w:hAnsi="Tahoma" w:cs="Tahoma"/>
          <w:color w:val="111111"/>
          <w:sz w:val="20"/>
          <w:szCs w:val="20"/>
          <w:lang w:eastAsia="tr-TR"/>
        </w:rPr>
        <w:t xml:space="preserve">, </w:t>
      </w:r>
      <w:proofErr w:type="spellStart"/>
      <w:r w:rsidRPr="00491E09">
        <w:rPr>
          <w:rFonts w:ascii="Tahoma" w:eastAsia="Times New Roman" w:hAnsi="Tahoma" w:cs="Tahoma"/>
          <w:color w:val="111111"/>
          <w:sz w:val="20"/>
          <w:szCs w:val="20"/>
          <w:lang w:eastAsia="tr-TR"/>
        </w:rPr>
        <w:t>Ras</w:t>
      </w:r>
      <w:proofErr w:type="spellEnd"/>
      <w:r w:rsidRPr="00491E09">
        <w:rPr>
          <w:rFonts w:ascii="Tahoma" w:eastAsia="Times New Roman" w:hAnsi="Tahoma" w:cs="Tahoma"/>
          <w:color w:val="111111"/>
          <w:sz w:val="20"/>
          <w:szCs w:val="20"/>
          <w:lang w:eastAsia="tr-TR"/>
        </w:rPr>
        <w:t xml:space="preserve"> al-</w:t>
      </w:r>
      <w:proofErr w:type="spellStart"/>
      <w:r w:rsidRPr="00491E09">
        <w:rPr>
          <w:rFonts w:ascii="Tahoma" w:eastAsia="Times New Roman" w:hAnsi="Tahoma" w:cs="Tahoma"/>
          <w:color w:val="111111"/>
          <w:sz w:val="20"/>
          <w:szCs w:val="20"/>
          <w:lang w:eastAsia="tr-TR"/>
        </w:rPr>
        <w:t>Khamiah</w:t>
      </w:r>
      <w:proofErr w:type="spellEnd"/>
      <w:r w:rsidRPr="00491E09">
        <w:rPr>
          <w:rFonts w:ascii="Tahoma" w:eastAsia="Times New Roman" w:hAnsi="Tahoma" w:cs="Tahoma"/>
          <w:color w:val="111111"/>
          <w:sz w:val="20"/>
          <w:szCs w:val="20"/>
          <w:lang w:eastAsia="tr-TR"/>
        </w:rPr>
        <w:t xml:space="preserve">, </w:t>
      </w:r>
      <w:proofErr w:type="spellStart"/>
      <w:r w:rsidRPr="00491E09">
        <w:rPr>
          <w:rFonts w:ascii="Tahoma" w:eastAsia="Times New Roman" w:hAnsi="Tahoma" w:cs="Tahoma"/>
          <w:color w:val="111111"/>
          <w:sz w:val="20"/>
          <w:szCs w:val="20"/>
          <w:lang w:eastAsia="tr-TR"/>
        </w:rPr>
        <w:t>Ajman</w:t>
      </w:r>
      <w:proofErr w:type="spellEnd"/>
      <w:r w:rsidRPr="00491E09">
        <w:rPr>
          <w:rFonts w:ascii="Tahoma" w:eastAsia="Times New Roman" w:hAnsi="Tahoma" w:cs="Tahoma"/>
          <w:color w:val="111111"/>
          <w:sz w:val="20"/>
          <w:szCs w:val="20"/>
          <w:lang w:eastAsia="tr-TR"/>
        </w:rPr>
        <w:t xml:space="preserve">, </w:t>
      </w:r>
      <w:proofErr w:type="spellStart"/>
      <w:r w:rsidRPr="00491E09">
        <w:rPr>
          <w:rFonts w:ascii="Tahoma" w:eastAsia="Times New Roman" w:hAnsi="Tahoma" w:cs="Tahoma"/>
          <w:color w:val="111111"/>
          <w:sz w:val="20"/>
          <w:szCs w:val="20"/>
          <w:lang w:eastAsia="tr-TR"/>
        </w:rPr>
        <w:t>Fujairah</w:t>
      </w:r>
      <w:proofErr w:type="spellEnd"/>
      <w:r w:rsidRPr="00491E09">
        <w:rPr>
          <w:rFonts w:ascii="Tahoma" w:eastAsia="Times New Roman" w:hAnsi="Tahoma" w:cs="Tahoma"/>
          <w:color w:val="111111"/>
          <w:sz w:val="20"/>
          <w:szCs w:val="20"/>
          <w:lang w:eastAsia="tr-TR"/>
        </w:rPr>
        <w:t xml:space="preserve">, </w:t>
      </w:r>
      <w:proofErr w:type="spellStart"/>
      <w:r w:rsidRPr="00491E09">
        <w:rPr>
          <w:rFonts w:ascii="Tahoma" w:eastAsia="Times New Roman" w:hAnsi="Tahoma" w:cs="Tahoma"/>
          <w:color w:val="111111"/>
          <w:sz w:val="20"/>
          <w:szCs w:val="20"/>
          <w:lang w:eastAsia="tr-TR"/>
        </w:rPr>
        <w:t>Umm</w:t>
      </w:r>
      <w:proofErr w:type="spellEnd"/>
      <w:r w:rsidRPr="00491E09">
        <w:rPr>
          <w:rFonts w:ascii="Tahoma" w:eastAsia="Times New Roman" w:hAnsi="Tahoma" w:cs="Tahoma"/>
          <w:color w:val="111111"/>
          <w:sz w:val="20"/>
          <w:szCs w:val="20"/>
          <w:lang w:eastAsia="tr-TR"/>
        </w:rPr>
        <w:t xml:space="preserve"> al-</w:t>
      </w:r>
      <w:proofErr w:type="spellStart"/>
      <w:r w:rsidRPr="00491E09">
        <w:rPr>
          <w:rFonts w:ascii="Tahoma" w:eastAsia="Times New Roman" w:hAnsi="Tahoma" w:cs="Tahoma"/>
          <w:color w:val="111111"/>
          <w:sz w:val="20"/>
          <w:szCs w:val="20"/>
          <w:lang w:eastAsia="tr-TR"/>
        </w:rPr>
        <w:t>Qaiwain</w:t>
      </w:r>
      <w:proofErr w:type="spellEnd"/>
      <w:r w:rsidRPr="00491E09">
        <w:rPr>
          <w:rFonts w:ascii="Tahoma" w:eastAsia="Times New Roman" w:hAnsi="Tahoma" w:cs="Tahoma"/>
          <w:color w:val="111111"/>
          <w:sz w:val="20"/>
          <w:szCs w:val="20"/>
          <w:lang w:eastAsia="tr-TR"/>
        </w:rPr>
        <w:t xml:space="preserve">). Şeyh </w:t>
      </w:r>
      <w:proofErr w:type="spellStart"/>
      <w:r w:rsidRPr="00491E09">
        <w:rPr>
          <w:rFonts w:ascii="Tahoma" w:eastAsia="Times New Roman" w:hAnsi="Tahoma" w:cs="Tahoma"/>
          <w:color w:val="111111"/>
          <w:sz w:val="20"/>
          <w:szCs w:val="20"/>
          <w:lang w:eastAsia="tr-TR"/>
        </w:rPr>
        <w:t>Khalifa</w:t>
      </w:r>
      <w:proofErr w:type="spellEnd"/>
      <w:r w:rsidRPr="00491E09">
        <w:rPr>
          <w:rFonts w:ascii="Tahoma" w:eastAsia="Times New Roman" w:hAnsi="Tahoma" w:cs="Tahoma"/>
          <w:color w:val="111111"/>
          <w:sz w:val="20"/>
          <w:szCs w:val="20"/>
          <w:lang w:eastAsia="tr-TR"/>
        </w:rPr>
        <w:t xml:space="preserve"> bin </w:t>
      </w:r>
      <w:proofErr w:type="spellStart"/>
      <w:r w:rsidRPr="00491E09">
        <w:rPr>
          <w:rFonts w:ascii="Tahoma" w:eastAsia="Times New Roman" w:hAnsi="Tahoma" w:cs="Tahoma"/>
          <w:color w:val="111111"/>
          <w:sz w:val="20"/>
          <w:szCs w:val="20"/>
          <w:lang w:eastAsia="tr-TR"/>
        </w:rPr>
        <w:t>Zayed</w:t>
      </w:r>
      <w:proofErr w:type="spellEnd"/>
      <w:r w:rsidRPr="00491E09">
        <w:rPr>
          <w:rFonts w:ascii="Tahoma" w:eastAsia="Times New Roman" w:hAnsi="Tahoma" w:cs="Tahoma"/>
          <w:color w:val="111111"/>
          <w:sz w:val="20"/>
          <w:szCs w:val="20"/>
          <w:lang w:eastAsia="tr-TR"/>
        </w:rPr>
        <w:t xml:space="preserve"> al-</w:t>
      </w:r>
      <w:proofErr w:type="spellStart"/>
      <w:r w:rsidRPr="00491E09">
        <w:rPr>
          <w:rFonts w:ascii="Tahoma" w:eastAsia="Times New Roman" w:hAnsi="Tahoma" w:cs="Tahoma"/>
          <w:color w:val="111111"/>
          <w:sz w:val="20"/>
          <w:szCs w:val="20"/>
          <w:lang w:eastAsia="tr-TR"/>
        </w:rPr>
        <w:t>Nahyan</w:t>
      </w:r>
      <w:proofErr w:type="spellEnd"/>
      <w:r w:rsidRPr="00491E09">
        <w:rPr>
          <w:rFonts w:ascii="Tahoma" w:eastAsia="Times New Roman" w:hAnsi="Tahoma" w:cs="Tahoma"/>
          <w:color w:val="111111"/>
          <w:sz w:val="20"/>
          <w:szCs w:val="20"/>
          <w:lang w:eastAsia="tr-TR"/>
        </w:rPr>
        <w:t xml:space="preserve">, ülkenin kuruluş tarihi olan 1971 yılından beri yönetimde olan babası Şeyh </w:t>
      </w:r>
      <w:proofErr w:type="spellStart"/>
      <w:r w:rsidRPr="00491E09">
        <w:rPr>
          <w:rFonts w:ascii="Tahoma" w:eastAsia="Times New Roman" w:hAnsi="Tahoma" w:cs="Tahoma"/>
          <w:color w:val="111111"/>
          <w:sz w:val="20"/>
          <w:szCs w:val="20"/>
          <w:lang w:eastAsia="tr-TR"/>
        </w:rPr>
        <w:t>Zayed</w:t>
      </w:r>
      <w:proofErr w:type="spellEnd"/>
      <w:r w:rsidRPr="00491E09">
        <w:rPr>
          <w:rFonts w:ascii="Tahoma" w:eastAsia="Times New Roman" w:hAnsi="Tahoma" w:cs="Tahoma"/>
          <w:color w:val="111111"/>
          <w:sz w:val="20"/>
          <w:szCs w:val="20"/>
          <w:lang w:eastAsia="tr-TR"/>
        </w:rPr>
        <w:t xml:space="preserve"> bin Sultan al-</w:t>
      </w:r>
      <w:proofErr w:type="spellStart"/>
      <w:r w:rsidRPr="00491E09">
        <w:rPr>
          <w:rFonts w:ascii="Tahoma" w:eastAsia="Times New Roman" w:hAnsi="Tahoma" w:cs="Tahoma"/>
          <w:color w:val="111111"/>
          <w:sz w:val="20"/>
          <w:szCs w:val="20"/>
          <w:lang w:eastAsia="tr-TR"/>
        </w:rPr>
        <w:t>Nahyan’ın</w:t>
      </w:r>
      <w:proofErr w:type="spellEnd"/>
      <w:r w:rsidRPr="00491E09">
        <w:rPr>
          <w:rFonts w:ascii="Tahoma" w:eastAsia="Times New Roman" w:hAnsi="Tahoma" w:cs="Tahoma"/>
          <w:color w:val="111111"/>
          <w:sz w:val="20"/>
          <w:szCs w:val="20"/>
          <w:lang w:eastAsia="tr-TR"/>
        </w:rPr>
        <w:t xml:space="preserve"> ölümü üzerine 2004 yılından ülkenin ve Abu </w:t>
      </w:r>
      <w:proofErr w:type="spellStart"/>
      <w:r w:rsidRPr="00491E09">
        <w:rPr>
          <w:rFonts w:ascii="Tahoma" w:eastAsia="Times New Roman" w:hAnsi="Tahoma" w:cs="Tahoma"/>
          <w:color w:val="111111"/>
          <w:sz w:val="20"/>
          <w:szCs w:val="20"/>
          <w:lang w:eastAsia="tr-TR"/>
        </w:rPr>
        <w:t>Dhabi’nin</w:t>
      </w:r>
      <w:proofErr w:type="spellEnd"/>
      <w:r w:rsidRPr="00491E09">
        <w:rPr>
          <w:rFonts w:ascii="Tahoma" w:eastAsia="Times New Roman" w:hAnsi="Tahoma" w:cs="Tahoma"/>
          <w:color w:val="111111"/>
          <w:sz w:val="20"/>
          <w:szCs w:val="20"/>
          <w:lang w:eastAsia="tr-TR"/>
        </w:rPr>
        <w:t xml:space="preserve"> başına geçmiştir. Ülkenin ikinci büyük Emirliği olan Dubai’nin yöneticisi Şeyh Muhammed bin </w:t>
      </w:r>
      <w:proofErr w:type="spellStart"/>
      <w:r w:rsidRPr="00491E09">
        <w:rPr>
          <w:rFonts w:ascii="Tahoma" w:eastAsia="Times New Roman" w:hAnsi="Tahoma" w:cs="Tahoma"/>
          <w:color w:val="111111"/>
          <w:sz w:val="20"/>
          <w:szCs w:val="20"/>
          <w:lang w:eastAsia="tr-TR"/>
        </w:rPr>
        <w:t>Rashid</w:t>
      </w:r>
      <w:proofErr w:type="spellEnd"/>
      <w:r w:rsidRPr="00491E09">
        <w:rPr>
          <w:rFonts w:ascii="Tahoma" w:eastAsia="Times New Roman" w:hAnsi="Tahoma" w:cs="Tahoma"/>
          <w:color w:val="111111"/>
          <w:sz w:val="20"/>
          <w:szCs w:val="20"/>
          <w:lang w:eastAsia="tr-TR"/>
        </w:rPr>
        <w:t xml:space="preserve"> al-</w:t>
      </w:r>
      <w:proofErr w:type="spellStart"/>
      <w:r w:rsidRPr="00491E09">
        <w:rPr>
          <w:rFonts w:ascii="Tahoma" w:eastAsia="Times New Roman" w:hAnsi="Tahoma" w:cs="Tahoma"/>
          <w:color w:val="111111"/>
          <w:sz w:val="20"/>
          <w:szCs w:val="20"/>
          <w:lang w:eastAsia="tr-TR"/>
        </w:rPr>
        <w:t>Maktoum</w:t>
      </w:r>
      <w:proofErr w:type="spellEnd"/>
      <w:r w:rsidRPr="00491E09">
        <w:rPr>
          <w:rFonts w:ascii="Tahoma" w:eastAsia="Times New Roman" w:hAnsi="Tahoma" w:cs="Tahoma"/>
          <w:color w:val="111111"/>
          <w:sz w:val="20"/>
          <w:szCs w:val="20"/>
          <w:lang w:eastAsia="tr-TR"/>
        </w:rPr>
        <w:t xml:space="preserve"> ise ülkenin Başbakanı konumundadır.</w:t>
      </w:r>
      <w:r w:rsidRPr="00491E09">
        <w:rPr>
          <w:rFonts w:ascii="Tahoma" w:eastAsia="Times New Roman" w:hAnsi="Tahoma" w:cs="Tahoma"/>
          <w:color w:val="111111"/>
          <w:sz w:val="20"/>
          <w:szCs w:val="20"/>
          <w:lang w:eastAsia="tr-TR"/>
        </w:rPr>
        <w:br/>
      </w:r>
      <w:r w:rsidRPr="00491E09">
        <w:rPr>
          <w:rFonts w:ascii="Tahoma" w:eastAsia="Times New Roman" w:hAnsi="Tahoma" w:cs="Tahoma"/>
          <w:color w:val="111111"/>
          <w:sz w:val="20"/>
          <w:szCs w:val="20"/>
          <w:lang w:eastAsia="tr-TR"/>
        </w:rPr>
        <w:br/>
        <w:t>Bağımsızlık öncesinde, Aşiretler Devleti (</w:t>
      </w:r>
      <w:proofErr w:type="spellStart"/>
      <w:r w:rsidRPr="00491E09">
        <w:rPr>
          <w:rFonts w:ascii="Tahoma" w:eastAsia="Times New Roman" w:hAnsi="Tahoma" w:cs="Tahoma"/>
          <w:color w:val="111111"/>
          <w:sz w:val="20"/>
          <w:szCs w:val="20"/>
          <w:lang w:eastAsia="tr-TR"/>
        </w:rPr>
        <w:t>Trucial</w:t>
      </w:r>
      <w:proofErr w:type="spellEnd"/>
      <w:r w:rsidRPr="00491E09">
        <w:rPr>
          <w:rFonts w:ascii="Tahoma" w:eastAsia="Times New Roman" w:hAnsi="Tahoma" w:cs="Tahoma"/>
          <w:color w:val="111111"/>
          <w:sz w:val="20"/>
          <w:szCs w:val="20"/>
          <w:lang w:eastAsia="tr-TR"/>
        </w:rPr>
        <w:t xml:space="preserve"> </w:t>
      </w:r>
      <w:proofErr w:type="spellStart"/>
      <w:r w:rsidRPr="00491E09">
        <w:rPr>
          <w:rFonts w:ascii="Tahoma" w:eastAsia="Times New Roman" w:hAnsi="Tahoma" w:cs="Tahoma"/>
          <w:color w:val="111111"/>
          <w:sz w:val="20"/>
          <w:szCs w:val="20"/>
          <w:lang w:eastAsia="tr-TR"/>
        </w:rPr>
        <w:t>States</w:t>
      </w:r>
      <w:proofErr w:type="spellEnd"/>
      <w:r w:rsidRPr="00491E09">
        <w:rPr>
          <w:rFonts w:ascii="Tahoma" w:eastAsia="Times New Roman" w:hAnsi="Tahoma" w:cs="Tahoma"/>
          <w:color w:val="111111"/>
          <w:sz w:val="20"/>
          <w:szCs w:val="20"/>
          <w:lang w:eastAsia="tr-TR"/>
        </w:rPr>
        <w:t xml:space="preserve">) olarak tanınan ülke, 1971 yılına kadar İngiltere’nin himayesinde kalmıştır. 2 Aralık 1971’de ise Birleşik Arap Emirlikleri’nin kuruluşu ilan edilmiş, aynı gün </w:t>
      </w:r>
      <w:proofErr w:type="spellStart"/>
      <w:r w:rsidRPr="00491E09">
        <w:rPr>
          <w:rFonts w:ascii="Tahoma" w:eastAsia="Times New Roman" w:hAnsi="Tahoma" w:cs="Tahoma"/>
          <w:color w:val="111111"/>
          <w:sz w:val="20"/>
          <w:szCs w:val="20"/>
          <w:lang w:eastAsia="tr-TR"/>
        </w:rPr>
        <w:t>Sheikh</w:t>
      </w:r>
      <w:proofErr w:type="spellEnd"/>
      <w:r w:rsidRPr="00491E09">
        <w:rPr>
          <w:rFonts w:ascii="Tahoma" w:eastAsia="Times New Roman" w:hAnsi="Tahoma" w:cs="Tahoma"/>
          <w:color w:val="111111"/>
          <w:sz w:val="20"/>
          <w:szCs w:val="20"/>
          <w:lang w:eastAsia="tr-TR"/>
        </w:rPr>
        <w:t xml:space="preserve"> </w:t>
      </w:r>
      <w:proofErr w:type="spellStart"/>
      <w:r w:rsidRPr="00491E09">
        <w:rPr>
          <w:rFonts w:ascii="Tahoma" w:eastAsia="Times New Roman" w:hAnsi="Tahoma" w:cs="Tahoma"/>
          <w:color w:val="111111"/>
          <w:sz w:val="20"/>
          <w:szCs w:val="20"/>
          <w:lang w:eastAsia="tr-TR"/>
        </w:rPr>
        <w:t>Zayed</w:t>
      </w:r>
      <w:proofErr w:type="spellEnd"/>
      <w:r w:rsidRPr="00491E09">
        <w:rPr>
          <w:rFonts w:ascii="Tahoma" w:eastAsia="Times New Roman" w:hAnsi="Tahoma" w:cs="Tahoma"/>
          <w:color w:val="111111"/>
          <w:sz w:val="20"/>
          <w:szCs w:val="20"/>
          <w:lang w:eastAsia="tr-TR"/>
        </w:rPr>
        <w:t xml:space="preserve"> bin Sultan al-</w:t>
      </w:r>
      <w:proofErr w:type="spellStart"/>
      <w:r w:rsidRPr="00491E09">
        <w:rPr>
          <w:rFonts w:ascii="Tahoma" w:eastAsia="Times New Roman" w:hAnsi="Tahoma" w:cs="Tahoma"/>
          <w:color w:val="111111"/>
          <w:sz w:val="20"/>
          <w:szCs w:val="20"/>
          <w:lang w:eastAsia="tr-TR"/>
        </w:rPr>
        <w:t>Nahyan</w:t>
      </w:r>
      <w:proofErr w:type="spellEnd"/>
      <w:r w:rsidRPr="00491E09">
        <w:rPr>
          <w:rFonts w:ascii="Tahoma" w:eastAsia="Times New Roman" w:hAnsi="Tahoma" w:cs="Tahoma"/>
          <w:color w:val="111111"/>
          <w:sz w:val="20"/>
          <w:szCs w:val="20"/>
          <w:lang w:eastAsia="tr-TR"/>
        </w:rPr>
        <w:t xml:space="preserve"> ülkenin Başkanı seçilmiştir. </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Federal Yüksek Konsey: Ülkedeki en üst siyasi otorite olan Federal Yüksek Konsey (</w:t>
      </w:r>
      <w:proofErr w:type="spellStart"/>
      <w:r w:rsidRPr="00491E09">
        <w:rPr>
          <w:rFonts w:ascii="Tahoma" w:eastAsia="Times New Roman" w:hAnsi="Tahoma" w:cs="Tahoma"/>
          <w:color w:val="111111"/>
          <w:sz w:val="20"/>
          <w:szCs w:val="20"/>
          <w:lang w:eastAsia="tr-TR"/>
        </w:rPr>
        <w:t>Supreme</w:t>
      </w:r>
      <w:proofErr w:type="spellEnd"/>
      <w:r w:rsidRPr="00491E09">
        <w:rPr>
          <w:rFonts w:ascii="Tahoma" w:eastAsia="Times New Roman" w:hAnsi="Tahoma" w:cs="Tahoma"/>
          <w:color w:val="111111"/>
          <w:sz w:val="20"/>
          <w:szCs w:val="20"/>
          <w:lang w:eastAsia="tr-TR"/>
        </w:rPr>
        <w:t xml:space="preserve"> </w:t>
      </w:r>
      <w:proofErr w:type="spellStart"/>
      <w:r w:rsidRPr="00491E09">
        <w:rPr>
          <w:rFonts w:ascii="Tahoma" w:eastAsia="Times New Roman" w:hAnsi="Tahoma" w:cs="Tahoma"/>
          <w:color w:val="111111"/>
          <w:sz w:val="20"/>
          <w:szCs w:val="20"/>
          <w:lang w:eastAsia="tr-TR"/>
        </w:rPr>
        <w:t>Council</w:t>
      </w:r>
      <w:proofErr w:type="spellEnd"/>
      <w:r w:rsidRPr="00491E09">
        <w:rPr>
          <w:rFonts w:ascii="Tahoma" w:eastAsia="Times New Roman" w:hAnsi="Tahoma" w:cs="Tahoma"/>
          <w:color w:val="111111"/>
          <w:sz w:val="20"/>
          <w:szCs w:val="20"/>
          <w:lang w:eastAsia="tr-TR"/>
        </w:rPr>
        <w:t xml:space="preserve">) 7 Emir’den oluşmaktadır. Bu Konsey federal yasaları onamakta, üyeleri arasından Devlet Başkanını, Başbakanı ve Bakanları seçmektedir. Abu </w:t>
      </w:r>
      <w:proofErr w:type="spellStart"/>
      <w:r w:rsidRPr="00491E09">
        <w:rPr>
          <w:rFonts w:ascii="Tahoma" w:eastAsia="Times New Roman" w:hAnsi="Tahoma" w:cs="Tahoma"/>
          <w:color w:val="111111"/>
          <w:sz w:val="20"/>
          <w:szCs w:val="20"/>
          <w:lang w:eastAsia="tr-TR"/>
        </w:rPr>
        <w:t>Dhabi</w:t>
      </w:r>
      <w:proofErr w:type="spellEnd"/>
      <w:r w:rsidRPr="00491E09">
        <w:rPr>
          <w:rFonts w:ascii="Tahoma" w:eastAsia="Times New Roman" w:hAnsi="Tahoma" w:cs="Tahoma"/>
          <w:color w:val="111111"/>
          <w:sz w:val="20"/>
          <w:szCs w:val="20"/>
          <w:lang w:eastAsia="tr-TR"/>
        </w:rPr>
        <w:t xml:space="preserve"> Emiri Devlet Başkanı, Dubai Emiri ise Devlet Başkan Yardımcısı ve Başbakan olmaktadır. Alınan kararların Abu </w:t>
      </w:r>
      <w:proofErr w:type="spellStart"/>
      <w:r w:rsidRPr="00491E09">
        <w:rPr>
          <w:rFonts w:ascii="Tahoma" w:eastAsia="Times New Roman" w:hAnsi="Tahoma" w:cs="Tahoma"/>
          <w:color w:val="111111"/>
          <w:sz w:val="20"/>
          <w:szCs w:val="20"/>
          <w:lang w:eastAsia="tr-TR"/>
        </w:rPr>
        <w:t>Dhabi</w:t>
      </w:r>
      <w:proofErr w:type="spellEnd"/>
      <w:r w:rsidRPr="00491E09">
        <w:rPr>
          <w:rFonts w:ascii="Tahoma" w:eastAsia="Times New Roman" w:hAnsi="Tahoma" w:cs="Tahoma"/>
          <w:color w:val="111111"/>
          <w:sz w:val="20"/>
          <w:szCs w:val="20"/>
          <w:lang w:eastAsia="tr-TR"/>
        </w:rPr>
        <w:t xml:space="preserve"> ve Dubai Emirleri ve en az üç diğer Emir tarafından onaylanması gerekmektedir.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Federal Ulusal Konsey (FUK): Ülkenin geleneksel kabile yapısı uyarınca, İslami şura kavramından yola çıkılarak kurulmuş olan Federal Ulusal Konsey’in 40 üyesi; 7 Emir tarafından iki yıllık dönem için atanmaktadır.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Konsey’de Bakanlıkların politikaları tartışılmakta olup, alınması gereken önlemler hakkında üyeler görüş ve tavsiyelerini dile getirmektedir. Ayrıca hükümet tarafından hazırlanan federal yasa tasarıları görüşülmekte ve öneriler sunulmaktadır. Ancak, Konsey’in veto yetkisi bulunmamaktadır.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 xml:space="preserve">BAE'de siyasi parti yoktur. 2006 yılı Aralık ayına kadar FUK üyeleri, Emirliklerin kendi yöntemlerine göre belirledikleri ve temsil edeceği Emirlikte yerleşik bulunan 25 yaş ve üstündeki BAE vatandaşı adaylar arasından, Devlet Başkanı tarafından atanmakta, atama kararı yedi Emirliğin Emirleri tarafından da onaylanmaktaydı. 40 üyeli </w:t>
      </w:r>
      <w:proofErr w:type="spellStart"/>
      <w:r w:rsidRPr="00491E09">
        <w:rPr>
          <w:rFonts w:ascii="Tahoma" w:eastAsia="Times New Roman" w:hAnsi="Tahoma" w:cs="Tahoma"/>
          <w:color w:val="111111"/>
          <w:sz w:val="20"/>
          <w:szCs w:val="20"/>
          <w:lang w:eastAsia="tr-TR"/>
        </w:rPr>
        <w:t>FUK’un</w:t>
      </w:r>
      <w:proofErr w:type="spellEnd"/>
      <w:r w:rsidRPr="00491E09">
        <w:rPr>
          <w:rFonts w:ascii="Tahoma" w:eastAsia="Times New Roman" w:hAnsi="Tahoma" w:cs="Tahoma"/>
          <w:color w:val="111111"/>
          <w:sz w:val="20"/>
          <w:szCs w:val="20"/>
          <w:lang w:eastAsia="tr-TR"/>
        </w:rPr>
        <w:t xml:space="preserve"> 20 üyeliği için BAE‘de ilk kez 16-20 Aralık 2006 tarihlerinde gerçekleştirilen iki dereceli seçim yöntemi ile belirlenen adaylar üyeliğe atanmışlardır. Anılan iki dereceli seçimlerde kadınlar da aday olabilmiş ve oy kullanabilmişlerdir. Seçim sonuçlarına göre yapılan atamalarda FUK üyelerinin %22’si kadınlardan oluşmuştur. Ayrıca, </w:t>
      </w:r>
      <w:proofErr w:type="spellStart"/>
      <w:r w:rsidRPr="00491E09">
        <w:rPr>
          <w:rFonts w:ascii="Tahoma" w:eastAsia="Times New Roman" w:hAnsi="Tahoma" w:cs="Tahoma"/>
          <w:color w:val="111111"/>
          <w:sz w:val="20"/>
          <w:szCs w:val="20"/>
          <w:lang w:eastAsia="tr-TR"/>
        </w:rPr>
        <w:t>FUK’un</w:t>
      </w:r>
      <w:proofErr w:type="spellEnd"/>
      <w:r w:rsidRPr="00491E09">
        <w:rPr>
          <w:rFonts w:ascii="Tahoma" w:eastAsia="Times New Roman" w:hAnsi="Tahoma" w:cs="Tahoma"/>
          <w:color w:val="111111"/>
          <w:sz w:val="20"/>
          <w:szCs w:val="20"/>
          <w:lang w:eastAsia="tr-TR"/>
        </w:rPr>
        <w:t xml:space="preserve"> görev süresi, 2008 yılında alınan bir kararla iki yıldan dört yıla çıkarılmıştır. Devlet Başkanı Yüksek Konsey'in onayı ile </w:t>
      </w:r>
      <w:proofErr w:type="spellStart"/>
      <w:r w:rsidRPr="00491E09">
        <w:rPr>
          <w:rFonts w:ascii="Tahoma" w:eastAsia="Times New Roman" w:hAnsi="Tahoma" w:cs="Tahoma"/>
          <w:color w:val="111111"/>
          <w:sz w:val="20"/>
          <w:szCs w:val="20"/>
          <w:lang w:eastAsia="tr-TR"/>
        </w:rPr>
        <w:t>FUK'u</w:t>
      </w:r>
      <w:proofErr w:type="spellEnd"/>
      <w:r w:rsidRPr="00491E09">
        <w:rPr>
          <w:rFonts w:ascii="Tahoma" w:eastAsia="Times New Roman" w:hAnsi="Tahoma" w:cs="Tahoma"/>
          <w:color w:val="111111"/>
          <w:sz w:val="20"/>
          <w:szCs w:val="20"/>
          <w:lang w:eastAsia="tr-TR"/>
        </w:rPr>
        <w:t xml:space="preserve"> feshedebilmektedir.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BAE'nin karar alma mekanizmasında, kesin hatlarıyla yasama, yürütme ve yargı olarak kuvvetler ayrımı yoktur. BAE'nin devlet yapısında yasama yetkisi, daha çok yürütmededir. Yasama sürecinde, önce Bakanlar Kurulu yasa taslağını hazırlayıp Federal Ulusal Konsey'e (FUK) sunmaktadır. FUK, üzerinde görüşmeler yaptıktan sonra yasa taslağını ya olduğu gibi, ya da yapılan değişikliklerle yeniden Bakanlar Kurulu'na göndermektedir. Yasa tasarısında FUK tarafından yapılmış değişiklikler olsa da, Bakanlar Kurulu'nun, Yüksek Konsey'in ve Devlet Başkanı'nın bunları kabul etme zorunluluğu yoktur. Bakanlar Kurulu'ndan geçen yasa tasarısı, daha sonra onay için Yüksek Konsey'e gönderilmektedir. Yasa tasarısı, Yüksek Konsey'de onaylanmasının ve Devlet Başkanı tarafından imzalanmasının ardından yasalaşmaktadır.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Devlet Başkanı: BAE Devlet Başkanı, yasama ve yürütme yetkisine sahiptir. Devlet Başkanı, aynı zamanda Yüksek Konsey'in de başkanı olduğundan, Yüksek Konsey'in toplantı halinde olmadığı zamanlar, bu Konsey'in bütün yetkilerini üzerinde toplayabilmektedir.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Devlet Başkan Yardımcısı: Yüksek Konsey üyeleri arasından beş yıllığına seçilmektedir. Devlet Başkanının yokluğunda Başkan Yardımcısı, Başkanın bütün yetkilerini kullanmaktadır.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 xml:space="preserve">Bakanlar Kurulu: BAE'deki Bakanlar Kurulu'nu, Batılı ülkelerdekilerden ayıran özelliği, bu kurulun hem yasama, hem yürütme işlevi bulunmasıdır. BAE Bakanlar Kurulu'nun temel işlevi, yasa tasarıları hazırlamak ve </w:t>
      </w:r>
      <w:proofErr w:type="spellStart"/>
      <w:r w:rsidRPr="00491E09">
        <w:rPr>
          <w:rFonts w:ascii="Tahoma" w:eastAsia="Times New Roman" w:hAnsi="Tahoma" w:cs="Tahoma"/>
          <w:color w:val="111111"/>
          <w:sz w:val="20"/>
          <w:szCs w:val="20"/>
          <w:lang w:eastAsia="tr-TR"/>
        </w:rPr>
        <w:t>FUK'un</w:t>
      </w:r>
      <w:proofErr w:type="spellEnd"/>
      <w:r w:rsidRPr="00491E09">
        <w:rPr>
          <w:rFonts w:ascii="Tahoma" w:eastAsia="Times New Roman" w:hAnsi="Tahoma" w:cs="Tahoma"/>
          <w:color w:val="111111"/>
          <w:sz w:val="20"/>
          <w:szCs w:val="20"/>
          <w:lang w:eastAsia="tr-TR"/>
        </w:rPr>
        <w:t xml:space="preserve"> oturum halinde olmadığı zamanlarda yasama organı gibi hareket etmektir. FUK, </w:t>
      </w:r>
      <w:r w:rsidRPr="00491E09">
        <w:rPr>
          <w:rFonts w:ascii="Tahoma" w:eastAsia="Times New Roman" w:hAnsi="Tahoma" w:cs="Tahoma"/>
          <w:color w:val="111111"/>
          <w:sz w:val="20"/>
          <w:szCs w:val="20"/>
          <w:lang w:eastAsia="tr-TR"/>
        </w:rPr>
        <w:lastRenderedPageBreak/>
        <w:t>kâğıt üstünde yasama organı olarak görünmekteyse de, gerçekte yasama gücü Bakanlar Kurulu'nun elindedir.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Yargı sistemi</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 xml:space="preserve">BAE'de karmaşık, ikili bir yargı sistemi bulunmaktadır. Anayasa, yargının temelini İslam şeriatı olarak belirlemektedir. Adli uygulamalarda hem İslam, hem de Batı modellerinin karışımı görülmektedir. Federal yasalar, bu iki tür yasa modelini benimseyen mahkemeler için de geçerlidir. </w:t>
      </w:r>
      <w:r w:rsidRPr="00491E09">
        <w:rPr>
          <w:rFonts w:ascii="Tahoma" w:eastAsia="Times New Roman" w:hAnsi="Tahoma" w:cs="Tahoma"/>
          <w:color w:val="111111"/>
          <w:sz w:val="20"/>
          <w:szCs w:val="20"/>
          <w:lang w:eastAsia="tr-TR"/>
        </w:rPr>
        <w:br/>
        <w:t>Kişinin bu mahkemelerden hangisine gideceği kendisine kalmıştır. Şeriat mahkemeleri de Yüksek Mahkeme'ye karşı sorumludur. Mahkemelerde jüri sistemi yoktur. Silahlı Kuvvetlerin ayrı mahkemeleri vardır.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Federal düzeyde en yüksek yargı kurumu olan Federal Yüksek Mahkeme, kendine özgü bir Anayasa Mahkemesi olarak da düşünülebilir. Bu mahkeme, aynı zamanda en yüksek temyiz mahkemesidir.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Sivil, ticari ve idari konularda gerçek veya tüzel kişiler arasındaki anlaşmazlıklara iptidai mahkemeler; federal mahkemelerin görev alanı dışındaki konulara ise Emirliklerin kendi yargı organları bakmaktadır.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 xml:space="preserve">Abu </w:t>
      </w:r>
      <w:proofErr w:type="spellStart"/>
      <w:r w:rsidRPr="00491E09">
        <w:rPr>
          <w:rFonts w:ascii="Tahoma" w:eastAsia="Times New Roman" w:hAnsi="Tahoma" w:cs="Tahoma"/>
          <w:color w:val="111111"/>
          <w:sz w:val="20"/>
          <w:szCs w:val="20"/>
          <w:lang w:eastAsia="tr-TR"/>
        </w:rPr>
        <w:t>Dhabi</w:t>
      </w:r>
      <w:proofErr w:type="spellEnd"/>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 xml:space="preserve">Abu </w:t>
      </w:r>
      <w:proofErr w:type="spellStart"/>
      <w:r w:rsidRPr="00491E09">
        <w:rPr>
          <w:rFonts w:ascii="Tahoma" w:eastAsia="Times New Roman" w:hAnsi="Tahoma" w:cs="Tahoma"/>
          <w:color w:val="111111"/>
          <w:sz w:val="20"/>
          <w:szCs w:val="20"/>
          <w:lang w:eastAsia="tr-TR"/>
        </w:rPr>
        <w:t>Dhabi</w:t>
      </w:r>
      <w:proofErr w:type="spellEnd"/>
      <w:r w:rsidRPr="00491E09">
        <w:rPr>
          <w:rFonts w:ascii="Tahoma" w:eastAsia="Times New Roman" w:hAnsi="Tahoma" w:cs="Tahoma"/>
          <w:color w:val="111111"/>
          <w:sz w:val="20"/>
          <w:szCs w:val="20"/>
          <w:lang w:eastAsia="tr-TR"/>
        </w:rPr>
        <w:t xml:space="preserve"> Emirliği, yedi emirlik içerisinde en büyük olanıdır. Emirlik, ülke topraklarının yaklaşık %86’sını kaplamaktadır. BAE, 200'e yakın adayı ihtiva etmekte olup, Abu </w:t>
      </w:r>
      <w:proofErr w:type="spellStart"/>
      <w:r w:rsidRPr="00491E09">
        <w:rPr>
          <w:rFonts w:ascii="Tahoma" w:eastAsia="Times New Roman" w:hAnsi="Tahoma" w:cs="Tahoma"/>
          <w:color w:val="111111"/>
          <w:sz w:val="20"/>
          <w:szCs w:val="20"/>
          <w:lang w:eastAsia="tr-TR"/>
        </w:rPr>
        <w:t>Dhabi</w:t>
      </w:r>
      <w:proofErr w:type="spellEnd"/>
      <w:r w:rsidRPr="00491E09">
        <w:rPr>
          <w:rFonts w:ascii="Tahoma" w:eastAsia="Times New Roman" w:hAnsi="Tahoma" w:cs="Tahoma"/>
          <w:color w:val="111111"/>
          <w:sz w:val="20"/>
          <w:szCs w:val="20"/>
          <w:lang w:eastAsia="tr-TR"/>
        </w:rPr>
        <w:t xml:space="preserve"> de bu</w:t>
      </w:r>
      <w:r w:rsidR="00105805" w:rsidRPr="00105805">
        <w:rPr>
          <w:rFonts w:ascii="Tahoma" w:eastAsia="Times New Roman" w:hAnsi="Tahoma" w:cs="Tahoma"/>
          <w:color w:val="111111"/>
          <w:sz w:val="20"/>
          <w:szCs w:val="20"/>
          <w:lang w:eastAsia="tr-TR"/>
        </w:rPr>
        <w:t xml:space="preserve"> adaların biri üzerine kurulmuşt</w:t>
      </w:r>
      <w:r w:rsidRPr="00491E09">
        <w:rPr>
          <w:rFonts w:ascii="Tahoma" w:eastAsia="Times New Roman" w:hAnsi="Tahoma" w:cs="Tahoma"/>
          <w:color w:val="111111"/>
          <w:sz w:val="20"/>
          <w:szCs w:val="20"/>
          <w:lang w:eastAsia="tr-TR"/>
        </w:rPr>
        <w:t xml:space="preserve">ur. Ülke nüfusunun yaklaşık üçte biri Abu </w:t>
      </w:r>
      <w:proofErr w:type="spellStart"/>
      <w:r w:rsidRPr="00491E09">
        <w:rPr>
          <w:rFonts w:ascii="Tahoma" w:eastAsia="Times New Roman" w:hAnsi="Tahoma" w:cs="Tahoma"/>
          <w:color w:val="111111"/>
          <w:sz w:val="20"/>
          <w:szCs w:val="20"/>
          <w:lang w:eastAsia="tr-TR"/>
        </w:rPr>
        <w:t>Dhabi’de</w:t>
      </w:r>
      <w:proofErr w:type="spellEnd"/>
      <w:r w:rsidRPr="00491E09">
        <w:rPr>
          <w:rFonts w:ascii="Tahoma" w:eastAsia="Times New Roman" w:hAnsi="Tahoma" w:cs="Tahoma"/>
          <w:color w:val="111111"/>
          <w:sz w:val="20"/>
          <w:szCs w:val="20"/>
          <w:lang w:eastAsia="tr-TR"/>
        </w:rPr>
        <w:t xml:space="preserve"> bulunmaktadır.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Dubai</w:t>
      </w:r>
      <w:r w:rsidRPr="00491E09">
        <w:rPr>
          <w:rFonts w:ascii="Tahoma" w:eastAsia="Times New Roman" w:hAnsi="Tahoma" w:cs="Tahoma"/>
          <w:color w:val="111111"/>
          <w:sz w:val="20"/>
          <w:szCs w:val="20"/>
          <w:lang w:eastAsia="tr-TR"/>
        </w:rPr>
        <w:br/>
      </w:r>
      <w:r w:rsidRPr="00491E09">
        <w:rPr>
          <w:rFonts w:ascii="Tahoma" w:eastAsia="Times New Roman" w:hAnsi="Tahoma" w:cs="Tahoma"/>
          <w:color w:val="111111"/>
          <w:sz w:val="20"/>
          <w:szCs w:val="20"/>
          <w:lang w:eastAsia="tr-TR"/>
        </w:rPr>
        <w:br/>
        <w:t>BAE'nin ticaret ve turizm merkezi olan Dubai, yıllardır Doğulu ve Batılı iş adamları arasında bir bağlantı noktası olmuştur. Toplam alanı 3 885 km2 olup, BAE topraklarının %5’ini oluşturmaktadır.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 xml:space="preserve">Şehir 20 km uzunluğunda bir haliç ile ikiye ayrılmıştır. </w:t>
      </w:r>
      <w:proofErr w:type="spellStart"/>
      <w:r w:rsidRPr="00491E09">
        <w:rPr>
          <w:rFonts w:ascii="Tahoma" w:eastAsia="Times New Roman" w:hAnsi="Tahoma" w:cs="Tahoma"/>
          <w:color w:val="111111"/>
          <w:sz w:val="20"/>
          <w:szCs w:val="20"/>
          <w:lang w:eastAsia="tr-TR"/>
        </w:rPr>
        <w:t>Burj</w:t>
      </w:r>
      <w:proofErr w:type="spellEnd"/>
      <w:r w:rsidRPr="00491E09">
        <w:rPr>
          <w:rFonts w:ascii="Tahoma" w:eastAsia="Times New Roman" w:hAnsi="Tahoma" w:cs="Tahoma"/>
          <w:color w:val="111111"/>
          <w:sz w:val="20"/>
          <w:szCs w:val="20"/>
          <w:lang w:eastAsia="tr-TR"/>
        </w:rPr>
        <w:t xml:space="preserve"> Dubai tarafında Dubai idari ofisleri, büyük şirketlerin ofisleri, bankalar, gümrük ve liman idaresi bulunmaktadır. Dubai'nin kuzeyi ise </w:t>
      </w:r>
      <w:proofErr w:type="spellStart"/>
      <w:r w:rsidRPr="00491E09">
        <w:rPr>
          <w:rFonts w:ascii="Tahoma" w:eastAsia="Times New Roman" w:hAnsi="Tahoma" w:cs="Tahoma"/>
          <w:color w:val="111111"/>
          <w:sz w:val="20"/>
          <w:szCs w:val="20"/>
          <w:lang w:eastAsia="tr-TR"/>
        </w:rPr>
        <w:t>Deira</w:t>
      </w:r>
      <w:proofErr w:type="spellEnd"/>
      <w:r w:rsidRPr="00491E09">
        <w:rPr>
          <w:rFonts w:ascii="Tahoma" w:eastAsia="Times New Roman" w:hAnsi="Tahoma" w:cs="Tahoma"/>
          <w:color w:val="111111"/>
          <w:sz w:val="20"/>
          <w:szCs w:val="20"/>
          <w:lang w:eastAsia="tr-TR"/>
        </w:rPr>
        <w:t xml:space="preserve"> olarak adlandırılmakta olup, bu bölgede büyük ve irili ufaklı alışveriş merkezleri, okullar, marketler ve oteller bulunmaktadır.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 xml:space="preserve">Dubai, BAE içindeki ikinci büyük Emirliktir. </w:t>
      </w:r>
      <w:r w:rsidR="00105805" w:rsidRPr="00105805">
        <w:rPr>
          <w:rFonts w:ascii="Tahoma" w:eastAsia="Times New Roman" w:hAnsi="Tahoma" w:cs="Tahoma"/>
          <w:color w:val="111111"/>
          <w:sz w:val="20"/>
          <w:szCs w:val="20"/>
          <w:lang w:eastAsia="tr-TR"/>
        </w:rPr>
        <w:t>Emirlik ’in</w:t>
      </w:r>
      <w:r w:rsidRPr="00491E09">
        <w:rPr>
          <w:rFonts w:ascii="Tahoma" w:eastAsia="Times New Roman" w:hAnsi="Tahoma" w:cs="Tahoma"/>
          <w:color w:val="111111"/>
          <w:sz w:val="20"/>
          <w:szCs w:val="20"/>
          <w:lang w:eastAsia="tr-TR"/>
        </w:rPr>
        <w:t xml:space="preserve"> büyük bir çoğunluğu oturulamaz durumda olan çöl iklimine sahip olmasına rağmen, Dubai şehri </w:t>
      </w:r>
      <w:proofErr w:type="spellStart"/>
      <w:r w:rsidRPr="00491E09">
        <w:rPr>
          <w:rFonts w:ascii="Tahoma" w:eastAsia="Times New Roman" w:hAnsi="Tahoma" w:cs="Tahoma"/>
          <w:color w:val="111111"/>
          <w:sz w:val="20"/>
          <w:szCs w:val="20"/>
          <w:lang w:eastAsia="tr-TR"/>
        </w:rPr>
        <w:t>metropolitan</w:t>
      </w:r>
      <w:proofErr w:type="spellEnd"/>
      <w:r w:rsidRPr="00491E09">
        <w:rPr>
          <w:rFonts w:ascii="Tahoma" w:eastAsia="Times New Roman" w:hAnsi="Tahoma" w:cs="Tahoma"/>
          <w:color w:val="111111"/>
          <w:sz w:val="20"/>
          <w:szCs w:val="20"/>
          <w:lang w:eastAsia="tr-TR"/>
        </w:rPr>
        <w:t xml:space="preserve"> bir yapıya sahiptir. Arapça resmi dil olup, İngilizce de yaygın biçimde konuşulmaktadır.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proofErr w:type="spellStart"/>
      <w:r w:rsidRPr="00491E09">
        <w:rPr>
          <w:rFonts w:ascii="Tahoma" w:eastAsia="Times New Roman" w:hAnsi="Tahoma" w:cs="Tahoma"/>
          <w:color w:val="111111"/>
          <w:sz w:val="20"/>
          <w:szCs w:val="20"/>
          <w:lang w:eastAsia="tr-TR"/>
        </w:rPr>
        <w:t>Seikh</w:t>
      </w:r>
      <w:proofErr w:type="spellEnd"/>
      <w:r w:rsidRPr="00491E09">
        <w:rPr>
          <w:rFonts w:ascii="Tahoma" w:eastAsia="Times New Roman" w:hAnsi="Tahoma" w:cs="Tahoma"/>
          <w:color w:val="111111"/>
          <w:sz w:val="20"/>
          <w:szCs w:val="20"/>
          <w:lang w:eastAsia="tr-TR"/>
        </w:rPr>
        <w:t xml:space="preserve"> </w:t>
      </w:r>
      <w:proofErr w:type="spellStart"/>
      <w:r w:rsidRPr="00491E09">
        <w:rPr>
          <w:rFonts w:ascii="Tahoma" w:eastAsia="Times New Roman" w:hAnsi="Tahoma" w:cs="Tahoma"/>
          <w:color w:val="111111"/>
          <w:sz w:val="20"/>
          <w:szCs w:val="20"/>
          <w:lang w:eastAsia="tr-TR"/>
        </w:rPr>
        <w:t>Rashed</w:t>
      </w:r>
      <w:proofErr w:type="spellEnd"/>
      <w:r w:rsidRPr="00491E09">
        <w:rPr>
          <w:rFonts w:ascii="Tahoma" w:eastAsia="Times New Roman" w:hAnsi="Tahoma" w:cs="Tahoma"/>
          <w:color w:val="111111"/>
          <w:sz w:val="20"/>
          <w:szCs w:val="20"/>
          <w:lang w:eastAsia="tr-TR"/>
        </w:rPr>
        <w:t xml:space="preserve"> bin </w:t>
      </w:r>
      <w:proofErr w:type="spellStart"/>
      <w:r w:rsidRPr="00491E09">
        <w:rPr>
          <w:rFonts w:ascii="Tahoma" w:eastAsia="Times New Roman" w:hAnsi="Tahoma" w:cs="Tahoma"/>
          <w:color w:val="111111"/>
          <w:sz w:val="20"/>
          <w:szCs w:val="20"/>
          <w:lang w:eastAsia="tr-TR"/>
        </w:rPr>
        <w:t>Saeed</w:t>
      </w:r>
      <w:proofErr w:type="spellEnd"/>
      <w:r w:rsidRPr="00491E09">
        <w:rPr>
          <w:rFonts w:ascii="Tahoma" w:eastAsia="Times New Roman" w:hAnsi="Tahoma" w:cs="Tahoma"/>
          <w:color w:val="111111"/>
          <w:sz w:val="20"/>
          <w:szCs w:val="20"/>
          <w:lang w:eastAsia="tr-TR"/>
        </w:rPr>
        <w:t xml:space="preserve"> al-</w:t>
      </w:r>
      <w:proofErr w:type="spellStart"/>
      <w:r w:rsidRPr="00491E09">
        <w:rPr>
          <w:rFonts w:ascii="Tahoma" w:eastAsia="Times New Roman" w:hAnsi="Tahoma" w:cs="Tahoma"/>
          <w:color w:val="111111"/>
          <w:sz w:val="20"/>
          <w:szCs w:val="20"/>
          <w:lang w:eastAsia="tr-TR"/>
        </w:rPr>
        <w:t>Maktoum</w:t>
      </w:r>
      <w:proofErr w:type="spellEnd"/>
      <w:r w:rsidRPr="00491E09">
        <w:rPr>
          <w:rFonts w:ascii="Tahoma" w:eastAsia="Times New Roman" w:hAnsi="Tahoma" w:cs="Tahoma"/>
          <w:color w:val="111111"/>
          <w:sz w:val="20"/>
          <w:szCs w:val="20"/>
          <w:lang w:eastAsia="tr-TR"/>
        </w:rPr>
        <w:t xml:space="preserve"> petrol sanayisini geride bırakacak şekilde ülkeyi ticarete açmayı başarmıştır.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 xml:space="preserve">Hong Kong ve Singapur’dan sonra bölgesel ve uluslararası arenada en önemli merkezlerden biri olma hedefi ile yola çıkan Dubai, bölgesel anlamda bu hedefini gerçekleştirmiş ve diğer Körfez ülkeleri arasında en önemli ticaret ve hizmet merkezi olarak öne çıkmayı başarmıştır. BAE’nin ticaret sistemi reeksporta dayalı olup, kayıtlı reeksportun yaklaşık %85’i Dubai tarafından gerçekleştirilmektedir. 1985 yılında faaliyete geçen ve bölgenin en büyük serbest bölgesi olan Dubai’deki </w:t>
      </w:r>
      <w:proofErr w:type="spellStart"/>
      <w:r w:rsidRPr="00491E09">
        <w:rPr>
          <w:rFonts w:ascii="Tahoma" w:eastAsia="Times New Roman" w:hAnsi="Tahoma" w:cs="Tahoma"/>
          <w:color w:val="111111"/>
          <w:sz w:val="20"/>
          <w:szCs w:val="20"/>
          <w:lang w:eastAsia="tr-TR"/>
        </w:rPr>
        <w:t>Jebel</w:t>
      </w:r>
      <w:proofErr w:type="spellEnd"/>
      <w:r w:rsidRPr="00491E09">
        <w:rPr>
          <w:rFonts w:ascii="Tahoma" w:eastAsia="Times New Roman" w:hAnsi="Tahoma" w:cs="Tahoma"/>
          <w:color w:val="111111"/>
          <w:sz w:val="20"/>
          <w:szCs w:val="20"/>
          <w:lang w:eastAsia="tr-TR"/>
        </w:rPr>
        <w:t xml:space="preserve"> Ali Serbest Bölgesi, dünyada ISO 9002 belgesini alan ilk serbest bölgedir. En modern ve gelişmiş haberleşme ve ulaşım ağlarının bulunduğu bölgede yatırımcılardan gelir vergisi ve servet vergisi alınmamakta, ayrıca kurumlara 50 yıl süreyle kurumlar vergisi muafiyeti uygulanmaktadır.</w:t>
      </w:r>
    </w:p>
    <w:p w:rsidR="00491E09" w:rsidRPr="00491E09" w:rsidRDefault="00491E09" w:rsidP="00105805">
      <w:pPr>
        <w:shd w:val="clear" w:color="auto" w:fill="FFFFFF"/>
        <w:spacing w:before="100" w:beforeAutospacing="1" w:after="100" w:afterAutospacing="1" w:line="240" w:lineRule="atLeast"/>
        <w:outlineLvl w:val="3"/>
        <w:rPr>
          <w:rFonts w:ascii="Verdana" w:eastAsia="Times New Roman" w:hAnsi="Verdana" w:cs="Tahoma"/>
          <w:b/>
          <w:bCs/>
          <w:color w:val="000000"/>
          <w:sz w:val="20"/>
          <w:szCs w:val="20"/>
          <w:lang w:eastAsia="tr-TR"/>
        </w:rPr>
      </w:pPr>
      <w:r w:rsidRPr="00491E09">
        <w:rPr>
          <w:rFonts w:ascii="Verdana" w:eastAsia="Times New Roman" w:hAnsi="Verdana" w:cs="Tahoma"/>
          <w:b/>
          <w:bCs/>
          <w:color w:val="000000"/>
          <w:sz w:val="20"/>
          <w:szCs w:val="20"/>
          <w:lang w:eastAsia="tr-TR"/>
        </w:rPr>
        <w:t>Nüfus ve İşgücü Yapısı</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 xml:space="preserve">BAE nüfusu sürekli artış göstermektedir.1980 yılında 1 milyon olan nüfus 2013 yılında 7,9 milyona ulaşmıştır. Nüfusun % 39’u Abu </w:t>
      </w:r>
      <w:proofErr w:type="spellStart"/>
      <w:r w:rsidRPr="00491E09">
        <w:rPr>
          <w:rFonts w:ascii="Tahoma" w:eastAsia="Times New Roman" w:hAnsi="Tahoma" w:cs="Tahoma"/>
          <w:color w:val="111111"/>
          <w:sz w:val="20"/>
          <w:szCs w:val="20"/>
          <w:lang w:eastAsia="tr-TR"/>
        </w:rPr>
        <w:t>Dhabi</w:t>
      </w:r>
      <w:proofErr w:type="spellEnd"/>
      <w:r w:rsidRPr="00491E09">
        <w:rPr>
          <w:rFonts w:ascii="Tahoma" w:eastAsia="Times New Roman" w:hAnsi="Tahoma" w:cs="Tahoma"/>
          <w:color w:val="111111"/>
          <w:sz w:val="20"/>
          <w:szCs w:val="20"/>
          <w:lang w:eastAsia="tr-TR"/>
        </w:rPr>
        <w:t xml:space="preserve">, % 29’u Dubai, % 18’i </w:t>
      </w:r>
      <w:proofErr w:type="spellStart"/>
      <w:r w:rsidRPr="00491E09">
        <w:rPr>
          <w:rFonts w:ascii="Tahoma" w:eastAsia="Times New Roman" w:hAnsi="Tahoma" w:cs="Tahoma"/>
          <w:color w:val="111111"/>
          <w:sz w:val="20"/>
          <w:szCs w:val="20"/>
          <w:lang w:eastAsia="tr-TR"/>
        </w:rPr>
        <w:t>Sharja</w:t>
      </w:r>
      <w:proofErr w:type="spellEnd"/>
      <w:r w:rsidRPr="00491E09">
        <w:rPr>
          <w:rFonts w:ascii="Tahoma" w:eastAsia="Times New Roman" w:hAnsi="Tahoma" w:cs="Tahoma"/>
          <w:color w:val="111111"/>
          <w:sz w:val="20"/>
          <w:szCs w:val="20"/>
          <w:lang w:eastAsia="tr-TR"/>
        </w:rPr>
        <w:t xml:space="preserve"> ve % 14’ü diğer emirliklerde yaşamaktadır.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lastRenderedPageBreak/>
        <w:t>Ülkede orta yaş nüfus grubu (ortalama 32,6 yaş grubu) artmaktadır. Doğum oranı bölgesel ortalamanın altında olup; sürekli olarak düşmektedir.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BAE’nin toplam nüfusun % 80’ni yabancılar oluşturmaktadır. Yabancı nüfus oranı sürekli artmaktadır. Ülkede çalışanların % 90’nı da yabancılardır. Yabancı nüfusun dağılımı Hintliler (%29), Pakistanlılar (%20), Bangladeşliler (%13), Filipinliler (%10), diğer Araplar (%12), İranlılardan (%2) ve diğer yabancılardan (%4) oluşmaktadır.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BAE’nde başlıca işgücü kaynağını oluşturan Asya kökenli göçmenler, başta inşaat olmak üzere emek yoğun sektörlerde düşük ücretler karşılığında işçi olarak çalışırken; Arap kökenliler kamu kurumlarında memur olarak istihdam edilmekte; Avrupalılar ise özel şirketlerde yönetici veya danışman kadrolarında görev almaktadırlar.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 xml:space="preserve">Ülkede son yıllarda göçmen işçilerin yerini BAE vatandaşlarının alması fikrine giderek sıcak bakılmaktadır. Çalışan BAE vatandaşlarının %88’i kamu sektöründe istihdam edilmekte, bunların da %56’sı polis teşkilatında ya da askeri kuvvetlerde görev yapmaktadır. BAE nüfusunun yaklaşık %40’ının 21 yaş altı kişilerden oluştuğu dikkate alındığında, işsizliğin ilerleyen yıllarda BAE vatandaşları için önemli bir sorun teşkil etmesi muhtemel gözükmektedir. </w:t>
      </w:r>
      <w:r w:rsidRPr="00491E09">
        <w:rPr>
          <w:rFonts w:ascii="Tahoma" w:eastAsia="Times New Roman" w:hAnsi="Tahoma" w:cs="Tahoma"/>
          <w:color w:val="111111"/>
          <w:sz w:val="20"/>
          <w:szCs w:val="20"/>
          <w:lang w:eastAsia="tr-TR"/>
        </w:rPr>
        <w:br/>
        <w:t> </w:t>
      </w:r>
    </w:p>
    <w:p w:rsidR="00491E09" w:rsidRPr="00491E09" w:rsidRDefault="00491E09" w:rsidP="00105805">
      <w:pPr>
        <w:shd w:val="clear" w:color="auto" w:fill="FFFFFF"/>
        <w:spacing w:before="100" w:beforeAutospacing="1" w:after="100" w:afterAutospacing="1" w:line="240" w:lineRule="atLeast"/>
        <w:outlineLvl w:val="3"/>
        <w:rPr>
          <w:rFonts w:ascii="Verdana" w:eastAsia="Times New Roman" w:hAnsi="Verdana" w:cs="Tahoma"/>
          <w:b/>
          <w:bCs/>
          <w:color w:val="000000"/>
          <w:sz w:val="20"/>
          <w:szCs w:val="20"/>
          <w:lang w:eastAsia="tr-TR"/>
        </w:rPr>
      </w:pPr>
      <w:r w:rsidRPr="00491E09">
        <w:rPr>
          <w:rFonts w:ascii="Verdana" w:eastAsia="Times New Roman" w:hAnsi="Verdana" w:cs="Tahoma"/>
          <w:b/>
          <w:bCs/>
          <w:color w:val="000000"/>
          <w:sz w:val="20"/>
          <w:szCs w:val="20"/>
          <w:lang w:eastAsia="tr-TR"/>
        </w:rPr>
        <w:t>Doğal Kaynaklar ve Çevre</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 xml:space="preserve">Çöllerin ve deniz kıyılarının birleşimi sonucunda ülkede yazları sıcak ve nemli bir hava görülmektedir. Hava sıcaklığı yazın 46 dereceye kadar çıkabilmekte ve %100 nem hissedilebilmektedir. Kışları ise ülkeye ılıman iklim </w:t>
      </w:r>
      <w:proofErr w:type="gramStart"/>
      <w:r w:rsidRPr="00491E09">
        <w:rPr>
          <w:rFonts w:ascii="Tahoma" w:eastAsia="Times New Roman" w:hAnsi="Tahoma" w:cs="Tahoma"/>
          <w:color w:val="111111"/>
          <w:sz w:val="20"/>
          <w:szCs w:val="20"/>
          <w:lang w:eastAsia="tr-TR"/>
        </w:rPr>
        <w:t>hakim</w:t>
      </w:r>
      <w:proofErr w:type="gramEnd"/>
      <w:r w:rsidRPr="00491E09">
        <w:rPr>
          <w:rFonts w:ascii="Tahoma" w:eastAsia="Times New Roman" w:hAnsi="Tahoma" w:cs="Tahoma"/>
          <w:color w:val="111111"/>
          <w:sz w:val="20"/>
          <w:szCs w:val="20"/>
          <w:lang w:eastAsia="tr-TR"/>
        </w:rPr>
        <w:t xml:space="preserve"> olmakta ve sıcaklık 14-23°C arasında değişmektedir. Zaman zaman yaşanan kum fırtınalarının dışında sel, kasırga ve deprem gibi doğal afetlere rastlanmamaktadır. Su kıtlığı son yıllarda BAE için önemli bir sorun haline gelmiştir.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Yeraltı sularının yetersizliği ve su talebinin karşılanmasındaki güçlükler nedeniyle, kullanılan suların %80’i deniz suyunu arıtma tesislerinden karşılanmaktadır. BAE’de her emirlik kendi elektrik ve su sistemlerini işletmekte olup, son yıllarda elektrik şebekelerinin birleştirilmesi gündeme gelmiştir.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 xml:space="preserve">BAE’nin sahip olduğu en önemli kaynaklar olan petrolün ve doğalgazın %90’ından fazlası Abu </w:t>
      </w:r>
      <w:proofErr w:type="spellStart"/>
      <w:r w:rsidRPr="00491E09">
        <w:rPr>
          <w:rFonts w:ascii="Tahoma" w:eastAsia="Times New Roman" w:hAnsi="Tahoma" w:cs="Tahoma"/>
          <w:color w:val="111111"/>
          <w:sz w:val="20"/>
          <w:szCs w:val="20"/>
          <w:lang w:eastAsia="tr-TR"/>
        </w:rPr>
        <w:t>Dhabi’de</w:t>
      </w:r>
      <w:proofErr w:type="spellEnd"/>
      <w:r w:rsidRPr="00491E09">
        <w:rPr>
          <w:rFonts w:ascii="Tahoma" w:eastAsia="Times New Roman" w:hAnsi="Tahoma" w:cs="Tahoma"/>
          <w:color w:val="111111"/>
          <w:sz w:val="20"/>
          <w:szCs w:val="20"/>
          <w:lang w:eastAsia="tr-TR"/>
        </w:rPr>
        <w:t xml:space="preserve"> çıkarılmaktadır. BAE’deki doğal gaz ve petrol rezervleri, OPEC içindeki en büyük beşinci rezervlerdir. Ayrıca </w:t>
      </w:r>
      <w:proofErr w:type="spellStart"/>
      <w:r w:rsidRPr="00491E09">
        <w:rPr>
          <w:rFonts w:ascii="Tahoma" w:eastAsia="Times New Roman" w:hAnsi="Tahoma" w:cs="Tahoma"/>
          <w:color w:val="111111"/>
          <w:sz w:val="20"/>
          <w:szCs w:val="20"/>
          <w:lang w:eastAsia="tr-TR"/>
        </w:rPr>
        <w:t>Fujairah</w:t>
      </w:r>
      <w:proofErr w:type="spellEnd"/>
      <w:r w:rsidRPr="00491E09">
        <w:rPr>
          <w:rFonts w:ascii="Tahoma" w:eastAsia="Times New Roman" w:hAnsi="Tahoma" w:cs="Tahoma"/>
          <w:color w:val="111111"/>
          <w:sz w:val="20"/>
          <w:szCs w:val="20"/>
          <w:lang w:eastAsia="tr-TR"/>
        </w:rPr>
        <w:t xml:space="preserve"> ve </w:t>
      </w:r>
      <w:proofErr w:type="spellStart"/>
      <w:r w:rsidRPr="00491E09">
        <w:rPr>
          <w:rFonts w:ascii="Tahoma" w:eastAsia="Times New Roman" w:hAnsi="Tahoma" w:cs="Tahoma"/>
          <w:color w:val="111111"/>
          <w:sz w:val="20"/>
          <w:szCs w:val="20"/>
          <w:lang w:eastAsia="tr-TR"/>
        </w:rPr>
        <w:t>Ras</w:t>
      </w:r>
      <w:proofErr w:type="spellEnd"/>
      <w:r w:rsidRPr="00491E09">
        <w:rPr>
          <w:rFonts w:ascii="Tahoma" w:eastAsia="Times New Roman" w:hAnsi="Tahoma" w:cs="Tahoma"/>
          <w:color w:val="111111"/>
          <w:sz w:val="20"/>
          <w:szCs w:val="20"/>
          <w:lang w:eastAsia="tr-TR"/>
        </w:rPr>
        <w:t xml:space="preserve"> al-</w:t>
      </w:r>
      <w:proofErr w:type="spellStart"/>
      <w:r w:rsidRPr="00491E09">
        <w:rPr>
          <w:rFonts w:ascii="Tahoma" w:eastAsia="Times New Roman" w:hAnsi="Tahoma" w:cs="Tahoma"/>
          <w:color w:val="111111"/>
          <w:sz w:val="20"/>
          <w:szCs w:val="20"/>
          <w:lang w:eastAsia="tr-TR"/>
        </w:rPr>
        <w:t>Khaimah’ta</w:t>
      </w:r>
      <w:proofErr w:type="spellEnd"/>
      <w:r w:rsidRPr="00491E09">
        <w:rPr>
          <w:rFonts w:ascii="Tahoma" w:eastAsia="Times New Roman" w:hAnsi="Tahoma" w:cs="Tahoma"/>
          <w:color w:val="111111"/>
          <w:sz w:val="20"/>
          <w:szCs w:val="20"/>
          <w:lang w:eastAsia="tr-TR"/>
        </w:rPr>
        <w:t xml:space="preserve"> bakır, Abu </w:t>
      </w:r>
      <w:proofErr w:type="spellStart"/>
      <w:r w:rsidRPr="00491E09">
        <w:rPr>
          <w:rFonts w:ascii="Tahoma" w:eastAsia="Times New Roman" w:hAnsi="Tahoma" w:cs="Tahoma"/>
          <w:color w:val="111111"/>
          <w:sz w:val="20"/>
          <w:szCs w:val="20"/>
          <w:lang w:eastAsia="tr-TR"/>
        </w:rPr>
        <w:t>Dhabi’de</w:t>
      </w:r>
      <w:proofErr w:type="spellEnd"/>
      <w:r w:rsidRPr="00491E09">
        <w:rPr>
          <w:rFonts w:ascii="Tahoma" w:eastAsia="Times New Roman" w:hAnsi="Tahoma" w:cs="Tahoma"/>
          <w:color w:val="111111"/>
          <w:sz w:val="20"/>
          <w:szCs w:val="20"/>
          <w:lang w:eastAsia="tr-TR"/>
        </w:rPr>
        <w:t xml:space="preserve"> magnezyum ve kuzeydeki emirliklerde manganez çıkarılmaktadır. BAE’nin doğal gaz rezervleri ise 213 trilyon ft3 ile dünyadaki en büyük beşinci doğal gaz rezervidir. Ham petrol rezervleri ise 97,8 milyar varildir. Söz konusu miktarın % 94’ü Abu </w:t>
      </w:r>
      <w:proofErr w:type="spellStart"/>
      <w:r w:rsidRPr="00491E09">
        <w:rPr>
          <w:rFonts w:ascii="Tahoma" w:eastAsia="Times New Roman" w:hAnsi="Tahoma" w:cs="Tahoma"/>
          <w:color w:val="111111"/>
          <w:sz w:val="20"/>
          <w:szCs w:val="20"/>
          <w:lang w:eastAsia="tr-TR"/>
        </w:rPr>
        <w:t>Dhabi’dedir</w:t>
      </w:r>
      <w:proofErr w:type="spellEnd"/>
      <w:r w:rsidRPr="00491E09">
        <w:rPr>
          <w:rFonts w:ascii="Tahoma" w:eastAsia="Times New Roman" w:hAnsi="Tahoma" w:cs="Tahoma"/>
          <w:color w:val="111111"/>
          <w:sz w:val="20"/>
          <w:szCs w:val="20"/>
          <w:lang w:eastAsia="tr-TR"/>
        </w:rPr>
        <w:t>.</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 xml:space="preserve">Federal Hükümet, Ağustos 1998’de BAE’nin ilk ulusal çevre yasasını onaylamıştır. Yeni yasa ile birlikte </w:t>
      </w:r>
      <w:proofErr w:type="gramStart"/>
      <w:r w:rsidRPr="00491E09">
        <w:rPr>
          <w:rFonts w:ascii="Tahoma" w:eastAsia="Times New Roman" w:hAnsi="Tahoma" w:cs="Tahoma"/>
          <w:color w:val="111111"/>
          <w:sz w:val="20"/>
          <w:szCs w:val="20"/>
          <w:lang w:eastAsia="tr-TR"/>
        </w:rPr>
        <w:t>emisyon</w:t>
      </w:r>
      <w:proofErr w:type="gramEnd"/>
      <w:r w:rsidRPr="00491E09">
        <w:rPr>
          <w:rFonts w:ascii="Tahoma" w:eastAsia="Times New Roman" w:hAnsi="Tahoma" w:cs="Tahoma"/>
          <w:color w:val="111111"/>
          <w:sz w:val="20"/>
          <w:szCs w:val="20"/>
          <w:lang w:eastAsia="tr-TR"/>
        </w:rPr>
        <w:t xml:space="preserve"> hacmi üzerine kısıtlamalar getirilmiş ve bunun gibi birçok önlem hayata geçirilmiştir. Son yıllarda Abu </w:t>
      </w:r>
      <w:proofErr w:type="spellStart"/>
      <w:r w:rsidRPr="00491E09">
        <w:rPr>
          <w:rFonts w:ascii="Tahoma" w:eastAsia="Times New Roman" w:hAnsi="Tahoma" w:cs="Tahoma"/>
          <w:color w:val="111111"/>
          <w:sz w:val="20"/>
          <w:szCs w:val="20"/>
          <w:lang w:eastAsia="tr-TR"/>
        </w:rPr>
        <w:t>Dhabi’li</w:t>
      </w:r>
      <w:proofErr w:type="spellEnd"/>
      <w:r w:rsidRPr="00491E09">
        <w:rPr>
          <w:rFonts w:ascii="Tahoma" w:eastAsia="Times New Roman" w:hAnsi="Tahoma" w:cs="Tahoma"/>
          <w:color w:val="111111"/>
          <w:sz w:val="20"/>
          <w:szCs w:val="20"/>
          <w:lang w:eastAsia="tr-TR"/>
        </w:rPr>
        <w:t xml:space="preserve"> yetkililer çevre bilincinin artırılmasına yönelik kampanyalar yürütmektedir. Ayrıca, dünyanın ilk sıfır-karbonlu ve sıfır-atıklı şehrinin Abu </w:t>
      </w:r>
      <w:proofErr w:type="spellStart"/>
      <w:r w:rsidRPr="00491E09">
        <w:rPr>
          <w:rFonts w:ascii="Tahoma" w:eastAsia="Times New Roman" w:hAnsi="Tahoma" w:cs="Tahoma"/>
          <w:color w:val="111111"/>
          <w:sz w:val="20"/>
          <w:szCs w:val="20"/>
          <w:lang w:eastAsia="tr-TR"/>
        </w:rPr>
        <w:t>Dhabi’nin</w:t>
      </w:r>
      <w:proofErr w:type="spellEnd"/>
      <w:r w:rsidRPr="00491E09">
        <w:rPr>
          <w:rFonts w:ascii="Tahoma" w:eastAsia="Times New Roman" w:hAnsi="Tahoma" w:cs="Tahoma"/>
          <w:color w:val="111111"/>
          <w:sz w:val="20"/>
          <w:szCs w:val="20"/>
          <w:lang w:eastAsia="tr-TR"/>
        </w:rPr>
        <w:t xml:space="preserve"> merkezinde kurulacağı açıklanmıştır. Şehrin içinde araştırma merkezleri, laboratuvarlar, şirketler için ayrılmış </w:t>
      </w:r>
      <w:proofErr w:type="gramStart"/>
      <w:r w:rsidRPr="00491E09">
        <w:rPr>
          <w:rFonts w:ascii="Tahoma" w:eastAsia="Times New Roman" w:hAnsi="Tahoma" w:cs="Tahoma"/>
          <w:color w:val="111111"/>
          <w:sz w:val="20"/>
          <w:szCs w:val="20"/>
          <w:lang w:eastAsia="tr-TR"/>
        </w:rPr>
        <w:t>dükkanlar</w:t>
      </w:r>
      <w:proofErr w:type="gramEnd"/>
      <w:r w:rsidRPr="00491E09">
        <w:rPr>
          <w:rFonts w:ascii="Tahoma" w:eastAsia="Times New Roman" w:hAnsi="Tahoma" w:cs="Tahoma"/>
          <w:color w:val="111111"/>
          <w:sz w:val="20"/>
          <w:szCs w:val="20"/>
          <w:lang w:eastAsia="tr-TR"/>
        </w:rPr>
        <w:t xml:space="preserve">, hafif imalat fabrikaları, bilim müzesi ve eğlence merkezlerinin kurulması planlanmaktadır. Otomobil kullanımının yasak olacağı, tamamen yenilenebilir enerjinin kullanılacağı ve çevresindeki tarlalarla kendi kendine yetebilmesi düşünülen bu şehirde yatırım yapacak olan firmalara vergi muafiyetinin yanı sıra %100 mülkiyet ve fikri mülkiyet hakkının korunması gibi </w:t>
      </w:r>
      <w:proofErr w:type="gramStart"/>
      <w:r w:rsidRPr="00491E09">
        <w:rPr>
          <w:rFonts w:ascii="Tahoma" w:eastAsia="Times New Roman" w:hAnsi="Tahoma" w:cs="Tahoma"/>
          <w:color w:val="111111"/>
          <w:sz w:val="20"/>
          <w:szCs w:val="20"/>
          <w:lang w:eastAsia="tr-TR"/>
        </w:rPr>
        <w:t>imkanlar</w:t>
      </w:r>
      <w:proofErr w:type="gramEnd"/>
      <w:r w:rsidRPr="00491E09">
        <w:rPr>
          <w:rFonts w:ascii="Tahoma" w:eastAsia="Times New Roman" w:hAnsi="Tahoma" w:cs="Tahoma"/>
          <w:color w:val="111111"/>
          <w:sz w:val="20"/>
          <w:szCs w:val="20"/>
          <w:lang w:eastAsia="tr-TR"/>
        </w:rPr>
        <w:t xml:space="preserve"> sunulması düşünülmektedir. </w:t>
      </w:r>
    </w:p>
    <w:p w:rsidR="00491E09" w:rsidRPr="00491E09" w:rsidRDefault="00491E09" w:rsidP="00105805">
      <w:pPr>
        <w:shd w:val="clear" w:color="auto" w:fill="FFFFFF"/>
        <w:spacing w:before="100" w:beforeAutospacing="1" w:after="100" w:afterAutospacing="1" w:line="240" w:lineRule="atLeast"/>
        <w:outlineLvl w:val="3"/>
        <w:rPr>
          <w:rFonts w:ascii="Verdana" w:eastAsia="Times New Roman" w:hAnsi="Verdana" w:cs="Tahoma"/>
          <w:b/>
          <w:bCs/>
          <w:color w:val="000000"/>
          <w:sz w:val="20"/>
          <w:szCs w:val="20"/>
          <w:lang w:eastAsia="tr-TR"/>
        </w:rPr>
      </w:pPr>
      <w:proofErr w:type="gramStart"/>
      <w:r w:rsidRPr="00491E09">
        <w:rPr>
          <w:rFonts w:ascii="Verdana" w:eastAsia="Times New Roman" w:hAnsi="Verdana" w:cs="Tahoma"/>
          <w:b/>
          <w:bCs/>
          <w:color w:val="000000"/>
          <w:sz w:val="20"/>
          <w:szCs w:val="20"/>
          <w:lang w:eastAsia="tr-TR"/>
        </w:rPr>
        <w:t>Dahil</w:t>
      </w:r>
      <w:proofErr w:type="gramEnd"/>
      <w:r w:rsidRPr="00491E09">
        <w:rPr>
          <w:rFonts w:ascii="Verdana" w:eastAsia="Times New Roman" w:hAnsi="Verdana" w:cs="Tahoma"/>
          <w:b/>
          <w:bCs/>
          <w:color w:val="000000"/>
          <w:sz w:val="20"/>
          <w:szCs w:val="20"/>
          <w:lang w:eastAsia="tr-TR"/>
        </w:rPr>
        <w:t xml:space="preserve"> Olduğu Uluslararası Anlaşmalar</w:t>
      </w:r>
    </w:p>
    <w:p w:rsidR="00491E09" w:rsidRPr="00491E09" w:rsidRDefault="00491E09"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491E09">
        <w:rPr>
          <w:rFonts w:ascii="Tahoma" w:eastAsia="Times New Roman" w:hAnsi="Tahoma" w:cs="Tahoma"/>
          <w:color w:val="111111"/>
          <w:sz w:val="20"/>
          <w:szCs w:val="20"/>
          <w:lang w:eastAsia="tr-TR"/>
        </w:rPr>
        <w:t xml:space="preserve">ABEDA, AFESD, AMF, CAEU, FAO, G-77, GCC, IAEA, IBRD, ICAO, ICC, </w:t>
      </w:r>
      <w:proofErr w:type="spellStart"/>
      <w:r w:rsidRPr="00491E09">
        <w:rPr>
          <w:rFonts w:ascii="Tahoma" w:eastAsia="Times New Roman" w:hAnsi="Tahoma" w:cs="Tahoma"/>
          <w:color w:val="111111"/>
          <w:sz w:val="20"/>
          <w:szCs w:val="20"/>
          <w:lang w:eastAsia="tr-TR"/>
        </w:rPr>
        <w:t>ICCt</w:t>
      </w:r>
      <w:proofErr w:type="spellEnd"/>
      <w:r w:rsidRPr="00491E09">
        <w:rPr>
          <w:rFonts w:ascii="Tahoma" w:eastAsia="Times New Roman" w:hAnsi="Tahoma" w:cs="Tahoma"/>
          <w:color w:val="111111"/>
          <w:sz w:val="20"/>
          <w:szCs w:val="20"/>
          <w:lang w:eastAsia="tr-TR"/>
        </w:rPr>
        <w:t>, ICRM, IDA, IDB, IFAD, IFC, IFRCS, IHO, ILO, IMF, IMO, IMSO, Interpol, IOC, IPU, ISO, ITSO, ITU, LAS, MIGA, NAM, OAPEC, OIC, OPCW, OPEC, PCA, UN, UNCTAD, UNESCO, UNIDO, UPU, WCO, WFTU, WHO, WIPO, WMO, WTO</w:t>
      </w:r>
    </w:p>
    <w:p w:rsidR="00105805" w:rsidRPr="00105805" w:rsidRDefault="00105805" w:rsidP="00105805">
      <w:pPr>
        <w:shd w:val="clear" w:color="auto" w:fill="FFFFFF"/>
        <w:spacing w:before="100" w:beforeAutospacing="1" w:after="100" w:afterAutospacing="1" w:line="270" w:lineRule="atLeast"/>
        <w:textAlignment w:val="center"/>
        <w:outlineLvl w:val="4"/>
        <w:rPr>
          <w:rFonts w:ascii="Verdana" w:eastAsia="Times New Roman" w:hAnsi="Verdana" w:cs="Tahoma"/>
          <w:b/>
          <w:bCs/>
          <w:color w:val="000000"/>
          <w:sz w:val="20"/>
          <w:szCs w:val="20"/>
          <w:lang w:eastAsia="tr-TR"/>
        </w:rPr>
      </w:pPr>
      <w:r w:rsidRPr="00105805">
        <w:rPr>
          <w:rFonts w:ascii="Verdana" w:eastAsia="Times New Roman" w:hAnsi="Verdana" w:cs="Tahoma"/>
          <w:b/>
          <w:bCs/>
          <w:color w:val="000000"/>
          <w:sz w:val="20"/>
          <w:szCs w:val="20"/>
          <w:lang w:eastAsia="tr-TR"/>
        </w:rPr>
        <w:t>Dış Ticaret</w:t>
      </w:r>
    </w:p>
    <w:p w:rsidR="00105805" w:rsidRPr="00105805" w:rsidRDefault="00105805" w:rsidP="00105805">
      <w:pPr>
        <w:shd w:val="clear" w:color="auto" w:fill="FFFFFF"/>
        <w:spacing w:before="100" w:beforeAutospacing="1" w:after="100" w:afterAutospacing="1" w:line="240" w:lineRule="atLeast"/>
        <w:outlineLvl w:val="3"/>
        <w:rPr>
          <w:rFonts w:ascii="Verdana" w:eastAsia="Times New Roman" w:hAnsi="Verdana" w:cs="Tahoma"/>
          <w:b/>
          <w:bCs/>
          <w:color w:val="000000"/>
          <w:sz w:val="20"/>
          <w:szCs w:val="20"/>
          <w:lang w:eastAsia="tr-TR"/>
        </w:rPr>
      </w:pPr>
      <w:r w:rsidRPr="00105805">
        <w:rPr>
          <w:rFonts w:ascii="Verdana" w:eastAsia="Times New Roman" w:hAnsi="Verdana" w:cs="Tahoma"/>
          <w:b/>
          <w:bCs/>
          <w:color w:val="000000"/>
          <w:sz w:val="20"/>
          <w:szCs w:val="20"/>
          <w:lang w:eastAsia="tr-TR"/>
        </w:rPr>
        <w:lastRenderedPageBreak/>
        <w:t>Genel Durum</w:t>
      </w:r>
    </w:p>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105805">
        <w:rPr>
          <w:rFonts w:ascii="Tahoma" w:eastAsia="Times New Roman" w:hAnsi="Tahoma" w:cs="Tahoma"/>
          <w:color w:val="111111"/>
          <w:sz w:val="20"/>
          <w:szCs w:val="20"/>
          <w:lang w:eastAsia="tr-TR"/>
        </w:rPr>
        <w:t>Toplam ithalatın yaklaşık %50'sini tüketim malları oluşturmaktadır. Çoğunlukla yüksek gelirli vatandaşların talep ettiği yüksek maliyetli ürünler ve BAE'de yetiştirilmeyen temel ürünler (özellikle gıda maddeleri) en fazla ithalatı yapılan ürün gruplarıdır. </w:t>
      </w:r>
    </w:p>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105805">
        <w:rPr>
          <w:rFonts w:ascii="Tahoma" w:eastAsia="Times New Roman" w:hAnsi="Tahoma" w:cs="Tahoma"/>
          <w:color w:val="111111"/>
          <w:sz w:val="20"/>
          <w:szCs w:val="20"/>
          <w:lang w:eastAsia="tr-TR"/>
        </w:rPr>
        <w:t>BAE, başta Dubai Emirliği olmak üzere, reeksport ağırlıklı bir ticari yapıya sahiptir. Çeşitli ülkelerden gelen mallar, BAE üzerinden farklı pazarlara ulaştırılmaktadır. Reeksportta en büyük pazarı Hint Yarımadası ve Körfez ülkeleri oluşturmaktadır. İran, Hindistan, Irak, Bahreyn, Suudi Arabistan ve Pakistan reeksportta ilk sıraları paylaşmaktadır. Reeksport yoluyla satışı yapılan başlıca ürünler; makineler, ses kaydediciler, inci, mücevherat, tekstil ürünleri, taşıt araçları, kimyasal ürünler ve gıda ürünleri ve içeceklerdir.</w:t>
      </w:r>
      <w:r w:rsidRPr="00105805">
        <w:rPr>
          <w:rFonts w:ascii="Tahoma" w:eastAsia="Times New Roman" w:hAnsi="Tahoma" w:cs="Tahoma"/>
          <w:color w:val="111111"/>
          <w:sz w:val="20"/>
          <w:szCs w:val="20"/>
          <w:lang w:eastAsia="tr-TR"/>
        </w:rPr>
        <w:br/>
        <w:t> </w:t>
      </w:r>
    </w:p>
    <w:p w:rsidR="00105805" w:rsidRPr="00105805" w:rsidRDefault="00105805" w:rsidP="00105805">
      <w:pPr>
        <w:shd w:val="clear" w:color="auto" w:fill="FFFFFF"/>
        <w:spacing w:before="100" w:beforeAutospacing="1" w:after="100" w:afterAutospacing="1" w:line="240" w:lineRule="atLeast"/>
        <w:outlineLvl w:val="3"/>
        <w:rPr>
          <w:rFonts w:ascii="Verdana" w:eastAsia="Times New Roman" w:hAnsi="Verdana" w:cs="Tahoma"/>
          <w:b/>
          <w:bCs/>
          <w:color w:val="000000"/>
          <w:sz w:val="20"/>
          <w:szCs w:val="20"/>
          <w:lang w:eastAsia="tr-TR"/>
        </w:rPr>
      </w:pPr>
      <w:r w:rsidRPr="00105805">
        <w:rPr>
          <w:rFonts w:ascii="Verdana" w:eastAsia="Times New Roman" w:hAnsi="Verdana" w:cs="Tahoma"/>
          <w:b/>
          <w:bCs/>
          <w:color w:val="000000"/>
          <w:sz w:val="20"/>
          <w:szCs w:val="20"/>
          <w:lang w:eastAsia="tr-TR"/>
        </w:rPr>
        <w:t>Ülkenin Dış Ticareti</w:t>
      </w:r>
    </w:p>
    <w:tbl>
      <w:tblPr>
        <w:tblW w:w="4950" w:type="pct"/>
        <w:tblCellSpacing w:w="7" w:type="dxa"/>
        <w:tblInd w:w="14" w:type="dxa"/>
        <w:shd w:val="clear" w:color="auto" w:fill="FFFFFF"/>
        <w:tblCellMar>
          <w:top w:w="15" w:type="dxa"/>
          <w:left w:w="15" w:type="dxa"/>
          <w:bottom w:w="15" w:type="dxa"/>
          <w:right w:w="15" w:type="dxa"/>
        </w:tblCellMar>
        <w:tblLook w:val="04A0" w:firstRow="1" w:lastRow="0" w:firstColumn="1" w:lastColumn="0" w:noHBand="0" w:noVBand="1"/>
      </w:tblPr>
      <w:tblGrid>
        <w:gridCol w:w="1839"/>
        <w:gridCol w:w="1198"/>
        <w:gridCol w:w="1199"/>
        <w:gridCol w:w="1199"/>
        <w:gridCol w:w="1199"/>
        <w:gridCol w:w="1199"/>
        <w:gridCol w:w="1206"/>
      </w:tblGrid>
      <w:tr w:rsidR="00105805" w:rsidRPr="00105805" w:rsidTr="00105805">
        <w:trPr>
          <w:trHeight w:val="270"/>
          <w:tblCellSpacing w:w="7" w:type="dxa"/>
        </w:trPr>
        <w:tc>
          <w:tcPr>
            <w:tcW w:w="0" w:type="auto"/>
            <w:gridSpan w:val="7"/>
            <w:tcBorders>
              <w:top w:val="nil"/>
              <w:left w:val="nil"/>
              <w:bottom w:val="nil"/>
              <w:right w:val="nil"/>
            </w:tcBorders>
            <w:shd w:val="clear" w:color="auto" w:fill="FFFFFF"/>
            <w:tcMar>
              <w:top w:w="15" w:type="dxa"/>
              <w:left w:w="0" w:type="dxa"/>
              <w:bottom w:w="15" w:type="dxa"/>
              <w:right w:w="30" w:type="dxa"/>
            </w:tcMar>
            <w:vAlign w:val="center"/>
            <w:hideMark/>
          </w:tcPr>
          <w:p w:rsidR="00105805" w:rsidRPr="00105805" w:rsidRDefault="00105805" w:rsidP="00105805">
            <w:pPr>
              <w:spacing w:after="30" w:line="240" w:lineRule="auto"/>
              <w:rPr>
                <w:rFonts w:ascii="Times New Roman" w:eastAsia="Times New Roman" w:hAnsi="Times New Roman" w:cs="Times New Roman"/>
                <w:b/>
                <w:bCs/>
                <w:i/>
                <w:iCs/>
                <w:color w:val="003366"/>
                <w:sz w:val="20"/>
                <w:szCs w:val="20"/>
                <w:lang w:eastAsia="tr-TR"/>
              </w:rPr>
            </w:pPr>
            <w:r w:rsidRPr="00105805">
              <w:rPr>
                <w:rFonts w:ascii="Times New Roman" w:eastAsia="Times New Roman" w:hAnsi="Times New Roman" w:cs="Times New Roman"/>
                <w:b/>
                <w:bCs/>
                <w:i/>
                <w:iCs/>
                <w:color w:val="003366"/>
                <w:sz w:val="20"/>
                <w:szCs w:val="20"/>
                <w:lang w:eastAsia="tr-TR"/>
              </w:rPr>
              <w:t>Dış Ticaret Göstergeleri (Milyon Dolar)</w:t>
            </w:r>
          </w:p>
        </w:tc>
      </w:tr>
      <w:tr w:rsidR="00105805" w:rsidRPr="00105805" w:rsidTr="00105805">
        <w:trPr>
          <w:trHeight w:val="270"/>
          <w:tblCellSpacing w:w="7" w:type="dxa"/>
        </w:trPr>
        <w:tc>
          <w:tcPr>
            <w:tcW w:w="0" w:type="auto"/>
            <w:gridSpan w:val="7"/>
            <w:shd w:val="clear" w:color="auto" w:fill="FFFFFF"/>
            <w:tcMar>
              <w:top w:w="15" w:type="dxa"/>
              <w:left w:w="0" w:type="dxa"/>
              <w:bottom w:w="15" w:type="dxa"/>
              <w:right w:w="30" w:type="dxa"/>
            </w:tcMar>
            <w:vAlign w:val="center"/>
            <w:hideMark/>
          </w:tcPr>
          <w:p w:rsidR="00105805" w:rsidRPr="00105805" w:rsidRDefault="00105805" w:rsidP="00105805">
            <w:pPr>
              <w:spacing w:after="0" w:line="240" w:lineRule="auto"/>
              <w:rPr>
                <w:rFonts w:ascii="Times New Roman" w:eastAsia="Times New Roman" w:hAnsi="Times New Roman" w:cs="Times New Roman"/>
                <w:i/>
                <w:iCs/>
                <w:color w:val="333333"/>
                <w:sz w:val="20"/>
                <w:szCs w:val="20"/>
                <w:lang w:eastAsia="tr-TR"/>
              </w:rPr>
            </w:pPr>
            <w:proofErr w:type="spellStart"/>
            <w:proofErr w:type="gramStart"/>
            <w:r w:rsidRPr="00105805">
              <w:rPr>
                <w:rFonts w:ascii="Times New Roman" w:eastAsia="Times New Roman" w:hAnsi="Times New Roman" w:cs="Times New Roman"/>
                <w:i/>
                <w:iCs/>
                <w:color w:val="333333"/>
                <w:sz w:val="20"/>
                <w:szCs w:val="20"/>
                <w:lang w:eastAsia="tr-TR"/>
              </w:rPr>
              <w:t>Kaynak:Trademap</w:t>
            </w:r>
            <w:proofErr w:type="spellEnd"/>
            <w:proofErr w:type="gramEnd"/>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2007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2008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2009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2012</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İHRACAT</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112,5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162,7</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102,0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158,9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214,7</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192,7</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İTHALAT</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137,2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171,3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137,0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157,2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192,5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202,1</w:t>
            </w:r>
          </w:p>
        </w:tc>
      </w:tr>
    </w:tbl>
    <w:p w:rsidR="00105805" w:rsidRPr="00105805" w:rsidRDefault="00105805" w:rsidP="00105805">
      <w:pPr>
        <w:shd w:val="clear" w:color="auto" w:fill="FFFFFF"/>
        <w:spacing w:beforeAutospacing="1" w:after="0" w:afterAutospacing="1" w:line="240" w:lineRule="auto"/>
        <w:rPr>
          <w:rFonts w:ascii="Tahoma" w:eastAsia="Times New Roman" w:hAnsi="Tahoma" w:cs="Tahoma"/>
          <w:color w:val="000000"/>
          <w:sz w:val="20"/>
          <w:szCs w:val="20"/>
          <w:lang w:eastAsia="tr-TR"/>
        </w:rPr>
      </w:pPr>
      <w:r w:rsidRPr="00105805">
        <w:rPr>
          <w:rFonts w:ascii="Tahoma" w:eastAsia="Times New Roman" w:hAnsi="Tahoma" w:cs="Tahoma"/>
          <w:color w:val="000000"/>
          <w:sz w:val="20"/>
          <w:szCs w:val="20"/>
          <w:lang w:eastAsia="tr-TR"/>
        </w:rPr>
        <w:t> </w:t>
      </w:r>
    </w:p>
    <w:p w:rsidR="00105805" w:rsidRPr="00105805" w:rsidRDefault="00105805" w:rsidP="00105805">
      <w:pPr>
        <w:shd w:val="clear" w:color="auto" w:fill="FFFFFF"/>
        <w:spacing w:before="100" w:beforeAutospacing="1" w:after="100" w:afterAutospacing="1" w:line="240" w:lineRule="atLeast"/>
        <w:outlineLvl w:val="3"/>
        <w:rPr>
          <w:rFonts w:ascii="Verdana" w:eastAsia="Times New Roman" w:hAnsi="Verdana" w:cs="Tahoma"/>
          <w:b/>
          <w:bCs/>
          <w:color w:val="000000"/>
          <w:sz w:val="20"/>
          <w:szCs w:val="20"/>
          <w:lang w:eastAsia="tr-TR"/>
        </w:rPr>
      </w:pPr>
      <w:r w:rsidRPr="00105805">
        <w:rPr>
          <w:rFonts w:ascii="Verdana" w:eastAsia="Times New Roman" w:hAnsi="Verdana" w:cs="Tahoma"/>
          <w:b/>
          <w:bCs/>
          <w:color w:val="000000"/>
          <w:sz w:val="20"/>
          <w:szCs w:val="20"/>
          <w:lang w:eastAsia="tr-TR"/>
        </w:rPr>
        <w:t>İhracatında Başlıca Ürünler</w:t>
      </w:r>
    </w:p>
    <w:tbl>
      <w:tblPr>
        <w:tblW w:w="4950" w:type="pct"/>
        <w:tblCellSpacing w:w="7" w:type="dxa"/>
        <w:tblInd w:w="14" w:type="dxa"/>
        <w:shd w:val="clear" w:color="auto" w:fill="FFFFFF"/>
        <w:tblCellMar>
          <w:top w:w="15" w:type="dxa"/>
          <w:left w:w="15" w:type="dxa"/>
          <w:bottom w:w="15" w:type="dxa"/>
          <w:right w:w="15" w:type="dxa"/>
        </w:tblCellMar>
        <w:tblLook w:val="04A0" w:firstRow="1" w:lastRow="0" w:firstColumn="1" w:lastColumn="0" w:noHBand="0" w:noVBand="1"/>
      </w:tblPr>
      <w:tblGrid>
        <w:gridCol w:w="561"/>
        <w:gridCol w:w="5607"/>
        <w:gridCol w:w="930"/>
        <w:gridCol w:w="930"/>
        <w:gridCol w:w="1011"/>
      </w:tblGrid>
      <w:tr w:rsidR="00105805" w:rsidRPr="00105805" w:rsidTr="00105805">
        <w:trPr>
          <w:trHeight w:val="270"/>
          <w:tblCellSpacing w:w="7" w:type="dxa"/>
        </w:trPr>
        <w:tc>
          <w:tcPr>
            <w:tcW w:w="0" w:type="auto"/>
            <w:gridSpan w:val="5"/>
            <w:tcBorders>
              <w:top w:val="nil"/>
              <w:left w:val="nil"/>
              <w:bottom w:val="nil"/>
              <w:right w:val="nil"/>
            </w:tcBorders>
            <w:shd w:val="clear" w:color="auto" w:fill="FFFFFF"/>
            <w:tcMar>
              <w:top w:w="15" w:type="dxa"/>
              <w:left w:w="0" w:type="dxa"/>
              <w:bottom w:w="15" w:type="dxa"/>
              <w:right w:w="30" w:type="dxa"/>
            </w:tcMar>
            <w:vAlign w:val="center"/>
            <w:hideMark/>
          </w:tcPr>
          <w:p w:rsidR="00105805" w:rsidRPr="00105805" w:rsidRDefault="00105805" w:rsidP="00105805">
            <w:pPr>
              <w:spacing w:after="30" w:line="240" w:lineRule="auto"/>
              <w:rPr>
                <w:rFonts w:ascii="Times New Roman" w:eastAsia="Times New Roman" w:hAnsi="Times New Roman" w:cs="Times New Roman"/>
                <w:b/>
                <w:bCs/>
                <w:i/>
                <w:iCs/>
                <w:color w:val="003366"/>
                <w:sz w:val="20"/>
                <w:szCs w:val="20"/>
                <w:lang w:eastAsia="tr-TR"/>
              </w:rPr>
            </w:pPr>
            <w:r w:rsidRPr="00105805">
              <w:rPr>
                <w:rFonts w:ascii="Times New Roman" w:eastAsia="Times New Roman" w:hAnsi="Times New Roman" w:cs="Times New Roman"/>
                <w:b/>
                <w:bCs/>
                <w:i/>
                <w:iCs/>
                <w:color w:val="003366"/>
                <w:sz w:val="20"/>
                <w:szCs w:val="20"/>
                <w:lang w:eastAsia="tr-TR"/>
              </w:rPr>
              <w:t>İhraç Ettiği Başlıca Ürünler (1 000 Dolar)</w:t>
            </w:r>
          </w:p>
        </w:tc>
      </w:tr>
      <w:tr w:rsidR="00105805" w:rsidRPr="00105805" w:rsidTr="00105805">
        <w:trPr>
          <w:trHeight w:val="270"/>
          <w:tblCellSpacing w:w="7" w:type="dxa"/>
        </w:trPr>
        <w:tc>
          <w:tcPr>
            <w:tcW w:w="0" w:type="auto"/>
            <w:gridSpan w:val="5"/>
            <w:shd w:val="clear" w:color="auto" w:fill="FFFFFF"/>
            <w:tcMar>
              <w:top w:w="15" w:type="dxa"/>
              <w:left w:w="0" w:type="dxa"/>
              <w:bottom w:w="15" w:type="dxa"/>
              <w:right w:w="30" w:type="dxa"/>
            </w:tcMar>
            <w:vAlign w:val="center"/>
            <w:hideMark/>
          </w:tcPr>
          <w:p w:rsidR="00105805" w:rsidRPr="00105805" w:rsidRDefault="00105805" w:rsidP="00105805">
            <w:pPr>
              <w:spacing w:after="0" w:line="240" w:lineRule="auto"/>
              <w:rPr>
                <w:rFonts w:ascii="Times New Roman" w:eastAsia="Times New Roman" w:hAnsi="Times New Roman" w:cs="Times New Roman"/>
                <w:i/>
                <w:iCs/>
                <w:color w:val="333333"/>
                <w:sz w:val="20"/>
                <w:szCs w:val="20"/>
                <w:lang w:eastAsia="tr-TR"/>
              </w:rPr>
            </w:pPr>
            <w:proofErr w:type="spellStart"/>
            <w:proofErr w:type="gramStart"/>
            <w:r w:rsidRPr="00105805">
              <w:rPr>
                <w:rFonts w:ascii="Times New Roman" w:eastAsia="Times New Roman" w:hAnsi="Times New Roman" w:cs="Times New Roman"/>
                <w:i/>
                <w:iCs/>
                <w:color w:val="333333"/>
                <w:sz w:val="20"/>
                <w:szCs w:val="20"/>
                <w:lang w:eastAsia="tr-TR"/>
              </w:rPr>
              <w:t>Kaynak:Trademap</w:t>
            </w:r>
            <w:proofErr w:type="spellEnd"/>
            <w:proofErr w:type="gramEnd"/>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GTİP</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Ürün Adı</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2012</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2709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Ham petrol (petrol yağları ve </w:t>
            </w:r>
            <w:proofErr w:type="spellStart"/>
            <w:r w:rsidRPr="00105805">
              <w:rPr>
                <w:rFonts w:ascii="Verdana" w:eastAsia="Times New Roman" w:hAnsi="Verdana" w:cs="Arial"/>
                <w:color w:val="000000"/>
                <w:sz w:val="20"/>
                <w:szCs w:val="20"/>
                <w:lang w:eastAsia="tr-TR"/>
              </w:rPr>
              <w:t>bitümenli</w:t>
            </w:r>
            <w:proofErr w:type="spellEnd"/>
            <w:r w:rsidRPr="00105805">
              <w:rPr>
                <w:rFonts w:ascii="Verdana" w:eastAsia="Times New Roman" w:hAnsi="Verdana" w:cs="Arial"/>
                <w:color w:val="000000"/>
                <w:sz w:val="20"/>
                <w:szCs w:val="20"/>
                <w:lang w:eastAsia="tr-TR"/>
              </w:rPr>
              <w:t xml:space="preserve"> minerallerden elde edilen yağlar)</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61 653 003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915 63 376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101 324 115</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2710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Petrol yağları ve </w:t>
            </w:r>
            <w:proofErr w:type="spellStart"/>
            <w:r w:rsidRPr="00105805">
              <w:rPr>
                <w:rFonts w:ascii="Verdana" w:eastAsia="Times New Roman" w:hAnsi="Verdana" w:cs="Arial"/>
                <w:color w:val="000000"/>
                <w:sz w:val="20"/>
                <w:szCs w:val="20"/>
                <w:lang w:eastAsia="tr-TR"/>
              </w:rPr>
              <w:t>bitümenli</w:t>
            </w:r>
            <w:proofErr w:type="spellEnd"/>
            <w:r w:rsidRPr="00105805">
              <w:rPr>
                <w:rFonts w:ascii="Verdana" w:eastAsia="Times New Roman" w:hAnsi="Verdana" w:cs="Arial"/>
                <w:color w:val="000000"/>
                <w:sz w:val="20"/>
                <w:szCs w:val="20"/>
                <w:lang w:eastAsia="tr-TR"/>
              </w:rPr>
              <w:t xml:space="preserve"> minerallerden elde edilen yağlar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17 668 503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25 698 675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22 922 415</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7108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Altın (ham, yarı işlenmiş, pudra halinde)</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10 032 265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13 895 016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14 582 604</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2711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Petrol gazları ve diğer gazlı hidrokarbonlar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7 907 037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11 635 389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13 250 910</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7102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Elmaslar</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15 452 749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13 871 716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9 671 015</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7113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Kıymetli metaller ve kaplamalarından mücevherci eşyası</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1 092 061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1 523 861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5 595 890</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7601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İşlenmemiş alüminyum</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2 738 528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4 414 870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3 969 248</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3901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Etilen polimerleri (ilk şekillerde)</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1 037 278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1 794 243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1 621 926</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8517</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Telli telefon-telgraf için elektrikli cihazlar</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957 382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1 135 079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1 495 535</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9999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Başka yerde belirtilmemiş ürünler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1 314 160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1 638 075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1 237 029</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8411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proofErr w:type="spellStart"/>
            <w:r w:rsidRPr="00105805">
              <w:rPr>
                <w:rFonts w:ascii="Verdana" w:eastAsia="Times New Roman" w:hAnsi="Verdana" w:cs="Arial"/>
                <w:color w:val="000000"/>
                <w:sz w:val="20"/>
                <w:szCs w:val="20"/>
                <w:lang w:eastAsia="tr-TR"/>
              </w:rPr>
              <w:t>Turbojetler</w:t>
            </w:r>
            <w:proofErr w:type="spellEnd"/>
            <w:r w:rsidRPr="00105805">
              <w:rPr>
                <w:rFonts w:ascii="Verdana" w:eastAsia="Times New Roman" w:hAnsi="Verdana" w:cs="Arial"/>
                <w:color w:val="000000"/>
                <w:sz w:val="20"/>
                <w:szCs w:val="20"/>
                <w:lang w:eastAsia="tr-TR"/>
              </w:rPr>
              <w:t>, turbo-</w:t>
            </w:r>
            <w:proofErr w:type="spellStart"/>
            <w:r w:rsidRPr="00105805">
              <w:rPr>
                <w:rFonts w:ascii="Verdana" w:eastAsia="Times New Roman" w:hAnsi="Verdana" w:cs="Arial"/>
                <w:color w:val="000000"/>
                <w:sz w:val="20"/>
                <w:szCs w:val="20"/>
                <w:lang w:eastAsia="tr-TR"/>
              </w:rPr>
              <w:t>propeller</w:t>
            </w:r>
            <w:proofErr w:type="spellEnd"/>
            <w:r w:rsidRPr="00105805">
              <w:rPr>
                <w:rFonts w:ascii="Verdana" w:eastAsia="Times New Roman" w:hAnsi="Verdana" w:cs="Arial"/>
                <w:color w:val="000000"/>
                <w:sz w:val="20"/>
                <w:szCs w:val="20"/>
                <w:lang w:eastAsia="tr-TR"/>
              </w:rPr>
              <w:t>, diğer gaz türbinleri</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1 357 465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1 143 631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827 515</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lastRenderedPageBreak/>
              <w:t>3902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proofErr w:type="spellStart"/>
            <w:r w:rsidRPr="00105805">
              <w:rPr>
                <w:rFonts w:ascii="Verdana" w:eastAsia="Times New Roman" w:hAnsi="Verdana" w:cs="Arial"/>
                <w:color w:val="000000"/>
                <w:sz w:val="20"/>
                <w:szCs w:val="20"/>
                <w:lang w:eastAsia="tr-TR"/>
              </w:rPr>
              <w:t>Propilen</w:t>
            </w:r>
            <w:proofErr w:type="spellEnd"/>
            <w:r w:rsidRPr="00105805">
              <w:rPr>
                <w:rFonts w:ascii="Verdana" w:eastAsia="Times New Roman" w:hAnsi="Verdana" w:cs="Arial"/>
                <w:color w:val="000000"/>
                <w:sz w:val="20"/>
                <w:szCs w:val="20"/>
                <w:lang w:eastAsia="tr-TR"/>
              </w:rPr>
              <w:t xml:space="preserve"> ve diğer olefinlerin polimerleri (ilk şekillerde)</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202 735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958 044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822 604</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7404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Bakır hurda ve döküntüler</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419 819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638 085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660 084</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7204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Demir/çelik döküntü ve hurdaları, bunların külçeleri</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552 319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655 264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598 083</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2707</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Yüksek sıcaklıkta taşkömürü katranının damıtılmasından elde yağlar ve diğer </w:t>
            </w:r>
            <w:proofErr w:type="spellStart"/>
            <w:r w:rsidRPr="00105805">
              <w:rPr>
                <w:rFonts w:ascii="Verdana" w:eastAsia="Times New Roman" w:hAnsi="Verdana" w:cs="Arial"/>
                <w:color w:val="000000"/>
                <w:sz w:val="20"/>
                <w:szCs w:val="20"/>
                <w:lang w:eastAsia="tr-TR"/>
              </w:rPr>
              <w:t>ürünl</w:t>
            </w:r>
            <w:proofErr w:type="spellEnd"/>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10 712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401 612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445 648</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2901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proofErr w:type="spellStart"/>
            <w:r w:rsidRPr="00105805">
              <w:rPr>
                <w:rFonts w:ascii="Verdana" w:eastAsia="Times New Roman" w:hAnsi="Verdana" w:cs="Arial"/>
                <w:color w:val="000000"/>
                <w:sz w:val="20"/>
                <w:szCs w:val="20"/>
                <w:lang w:eastAsia="tr-TR"/>
              </w:rPr>
              <w:t>Asiklik</w:t>
            </w:r>
            <w:proofErr w:type="spellEnd"/>
            <w:r w:rsidRPr="00105805">
              <w:rPr>
                <w:rFonts w:ascii="Verdana" w:eastAsia="Times New Roman" w:hAnsi="Verdana" w:cs="Arial"/>
                <w:color w:val="000000"/>
                <w:sz w:val="20"/>
                <w:szCs w:val="20"/>
                <w:lang w:eastAsia="tr-TR"/>
              </w:rPr>
              <w:t xml:space="preserve"> hidrokarbonlar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65 421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256 537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443 862</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2503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Her nevi kükürt (süblime, </w:t>
            </w:r>
            <w:proofErr w:type="spellStart"/>
            <w:r w:rsidRPr="00105805">
              <w:rPr>
                <w:rFonts w:ascii="Verdana" w:eastAsia="Times New Roman" w:hAnsi="Verdana" w:cs="Arial"/>
                <w:color w:val="000000"/>
                <w:sz w:val="20"/>
                <w:szCs w:val="20"/>
                <w:lang w:eastAsia="tr-TR"/>
              </w:rPr>
              <w:t>presipite</w:t>
            </w:r>
            <w:proofErr w:type="spellEnd"/>
            <w:r w:rsidRPr="00105805">
              <w:rPr>
                <w:rFonts w:ascii="Verdana" w:eastAsia="Times New Roman" w:hAnsi="Verdana" w:cs="Arial"/>
                <w:color w:val="000000"/>
                <w:sz w:val="20"/>
                <w:szCs w:val="20"/>
                <w:lang w:eastAsia="tr-TR"/>
              </w:rPr>
              <w:t xml:space="preserve"> ve </w:t>
            </w:r>
            <w:proofErr w:type="spellStart"/>
            <w:r w:rsidRPr="00105805">
              <w:rPr>
                <w:rFonts w:ascii="Verdana" w:eastAsia="Times New Roman" w:hAnsi="Verdana" w:cs="Arial"/>
                <w:color w:val="000000"/>
                <w:sz w:val="20"/>
                <w:szCs w:val="20"/>
                <w:lang w:eastAsia="tr-TR"/>
              </w:rPr>
              <w:t>kolloidal</w:t>
            </w:r>
            <w:proofErr w:type="spellEnd"/>
            <w:r w:rsidRPr="00105805">
              <w:rPr>
                <w:rFonts w:ascii="Verdana" w:eastAsia="Times New Roman" w:hAnsi="Verdana" w:cs="Arial"/>
                <w:color w:val="000000"/>
                <w:sz w:val="20"/>
                <w:szCs w:val="20"/>
                <w:lang w:eastAsia="tr-TR"/>
              </w:rPr>
              <w:t xml:space="preserve"> kükürt hariç)</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209 090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348 348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410 964</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3102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Azotlu mineral/kimyasal gübreler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152 735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419 309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379 497</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3920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Plastikten diğer levha, yaprak, pelikül ve lamlar</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482 740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557 172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347 566</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1514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proofErr w:type="spellStart"/>
            <w:r w:rsidRPr="00105805">
              <w:rPr>
                <w:rFonts w:ascii="Verdana" w:eastAsia="Times New Roman" w:hAnsi="Verdana" w:cs="Arial"/>
                <w:color w:val="000000"/>
                <w:sz w:val="20"/>
                <w:szCs w:val="20"/>
                <w:lang w:eastAsia="tr-TR"/>
              </w:rPr>
              <w:t>Rep</w:t>
            </w:r>
            <w:proofErr w:type="spellEnd"/>
            <w:r w:rsidRPr="00105805">
              <w:rPr>
                <w:rFonts w:ascii="Verdana" w:eastAsia="Times New Roman" w:hAnsi="Verdana" w:cs="Arial"/>
                <w:color w:val="000000"/>
                <w:sz w:val="20"/>
                <w:szCs w:val="20"/>
                <w:lang w:eastAsia="tr-TR"/>
              </w:rPr>
              <w:t>, kolza, hardal yağı (kimyasal olarak değiştirilmemiş)</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275 601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385 853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336 215</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7112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Kıymetli metallerin, kaplamalarının artık ve döküntüleri</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365 738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262 767</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305 213</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3907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proofErr w:type="spellStart"/>
            <w:r w:rsidRPr="00105805">
              <w:rPr>
                <w:rFonts w:ascii="Verdana" w:eastAsia="Times New Roman" w:hAnsi="Verdana" w:cs="Arial"/>
                <w:color w:val="000000"/>
                <w:sz w:val="20"/>
                <w:szCs w:val="20"/>
                <w:lang w:eastAsia="tr-TR"/>
              </w:rPr>
              <w:t>Poliasetaller</w:t>
            </w:r>
            <w:proofErr w:type="spellEnd"/>
            <w:r w:rsidRPr="00105805">
              <w:rPr>
                <w:rFonts w:ascii="Verdana" w:eastAsia="Times New Roman" w:hAnsi="Verdana" w:cs="Arial"/>
                <w:color w:val="000000"/>
                <w:sz w:val="20"/>
                <w:szCs w:val="20"/>
                <w:lang w:eastAsia="tr-TR"/>
              </w:rPr>
              <w:t xml:space="preserve">, diğer </w:t>
            </w:r>
            <w:proofErr w:type="spellStart"/>
            <w:r w:rsidRPr="00105805">
              <w:rPr>
                <w:rFonts w:ascii="Verdana" w:eastAsia="Times New Roman" w:hAnsi="Verdana" w:cs="Arial"/>
                <w:color w:val="000000"/>
                <w:sz w:val="20"/>
                <w:szCs w:val="20"/>
                <w:lang w:eastAsia="tr-TR"/>
              </w:rPr>
              <w:t>polieterler</w:t>
            </w:r>
            <w:proofErr w:type="spellEnd"/>
            <w:r w:rsidRPr="00105805">
              <w:rPr>
                <w:rFonts w:ascii="Verdana" w:eastAsia="Times New Roman" w:hAnsi="Verdana" w:cs="Arial"/>
                <w:color w:val="000000"/>
                <w:sz w:val="20"/>
                <w:szCs w:val="20"/>
                <w:lang w:eastAsia="tr-TR"/>
              </w:rPr>
              <w:t xml:space="preserve">, </w:t>
            </w:r>
            <w:proofErr w:type="spellStart"/>
            <w:r w:rsidRPr="00105805">
              <w:rPr>
                <w:rFonts w:ascii="Verdana" w:eastAsia="Times New Roman" w:hAnsi="Verdana" w:cs="Arial"/>
                <w:color w:val="000000"/>
                <w:sz w:val="20"/>
                <w:szCs w:val="20"/>
                <w:lang w:eastAsia="tr-TR"/>
              </w:rPr>
              <w:t>epoksit-alkid</w:t>
            </w:r>
            <w:proofErr w:type="spellEnd"/>
            <w:r w:rsidRPr="00105805">
              <w:rPr>
                <w:rFonts w:ascii="Verdana" w:eastAsia="Times New Roman" w:hAnsi="Verdana" w:cs="Arial"/>
                <w:color w:val="000000"/>
                <w:sz w:val="20"/>
                <w:szCs w:val="20"/>
                <w:lang w:eastAsia="tr-TR"/>
              </w:rPr>
              <w:t xml:space="preserve"> reçineler </w:t>
            </w:r>
            <w:proofErr w:type="spellStart"/>
            <w:r w:rsidRPr="00105805">
              <w:rPr>
                <w:rFonts w:ascii="Verdana" w:eastAsia="Times New Roman" w:hAnsi="Verdana" w:cs="Arial"/>
                <w:color w:val="000000"/>
                <w:sz w:val="20"/>
                <w:szCs w:val="20"/>
                <w:lang w:eastAsia="tr-TR"/>
              </w:rPr>
              <w:t>vb</w:t>
            </w:r>
            <w:proofErr w:type="spellEnd"/>
            <w:r w:rsidRPr="00105805">
              <w:rPr>
                <w:rFonts w:ascii="Verdana" w:eastAsia="Times New Roman" w:hAnsi="Verdana" w:cs="Arial"/>
                <w:color w:val="000000"/>
                <w:sz w:val="20"/>
                <w:szCs w:val="20"/>
                <w:lang w:eastAsia="tr-TR"/>
              </w:rPr>
              <w:t xml:space="preserve"> (ilk şekilde)</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444 211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524 481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268 848</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7602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Alüminyum döküntü ve hurdaları</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183 729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230 503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237 063</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7308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Demir/çelikten inşaat ve aksamı</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504 770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456 554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227 172</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8544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İzole edilmiş tel, kablo; diğer izole edilmiş elektrik iletkenleri; fiber optik k</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388 489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362 969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185 522</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7408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Bakır teller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322 822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417 066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184 726</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2909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Eterler, eter-alkoller, eter fenoller, fenoller, peroksitler vb. Türevleri</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294 076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215 208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175 536</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8703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Otomobil, steyşın vagonlar, yarış arabaları</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404 811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865 087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164 934</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2521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Kastin; kireç taşı ve diğer kireçli taşlar (kireç, çimento imalinde kullanılan)</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49 052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96 976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162 391</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6908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Sırlı seramikten döşeme, kaldırım taşları, şömine, duvar karosu</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316 840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344 374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160 306</w:t>
            </w:r>
          </w:p>
        </w:tc>
      </w:tr>
    </w:tbl>
    <w:p w:rsidR="00105805" w:rsidRPr="00105805" w:rsidRDefault="00105805" w:rsidP="00105805">
      <w:pPr>
        <w:shd w:val="clear" w:color="auto" w:fill="FFFFFF"/>
        <w:spacing w:beforeAutospacing="1" w:after="0" w:afterAutospacing="1" w:line="240" w:lineRule="auto"/>
        <w:rPr>
          <w:rFonts w:ascii="Tahoma" w:eastAsia="Times New Roman" w:hAnsi="Tahoma" w:cs="Tahoma"/>
          <w:color w:val="000000"/>
          <w:sz w:val="20"/>
          <w:szCs w:val="20"/>
          <w:lang w:eastAsia="tr-TR"/>
        </w:rPr>
      </w:pPr>
      <w:r w:rsidRPr="00105805">
        <w:rPr>
          <w:rFonts w:ascii="Tahoma" w:eastAsia="Times New Roman" w:hAnsi="Tahoma" w:cs="Tahoma"/>
          <w:color w:val="000000"/>
          <w:sz w:val="20"/>
          <w:szCs w:val="20"/>
          <w:lang w:eastAsia="tr-TR"/>
        </w:rPr>
        <w:t> </w:t>
      </w:r>
      <w:r w:rsidRPr="00105805">
        <w:rPr>
          <w:rFonts w:ascii="Tahoma" w:eastAsia="Times New Roman" w:hAnsi="Tahoma" w:cs="Tahoma"/>
          <w:color w:val="000000"/>
          <w:sz w:val="20"/>
          <w:szCs w:val="20"/>
          <w:lang w:eastAsia="tr-TR"/>
        </w:rPr>
        <w:br/>
        <w:t xml:space="preserve">2012 yılı itibariyle ülkenin ihracatındaki başlıca ürünler ham petrol ve petrol yağları, </w:t>
      </w:r>
    </w:p>
    <w:p w:rsidR="00105805" w:rsidRPr="00105805" w:rsidRDefault="00105805" w:rsidP="00105805">
      <w:pPr>
        <w:shd w:val="clear" w:color="auto" w:fill="FFFFFF"/>
        <w:spacing w:beforeAutospacing="1" w:after="0" w:afterAutospacing="1" w:line="240" w:lineRule="auto"/>
        <w:rPr>
          <w:rFonts w:ascii="Tahoma" w:eastAsia="Times New Roman" w:hAnsi="Tahoma" w:cs="Tahoma"/>
          <w:color w:val="000000"/>
          <w:sz w:val="20"/>
          <w:szCs w:val="20"/>
          <w:lang w:eastAsia="tr-TR"/>
        </w:rPr>
      </w:pPr>
      <w:proofErr w:type="gramStart"/>
      <w:r w:rsidRPr="00105805">
        <w:rPr>
          <w:rFonts w:ascii="Tahoma" w:eastAsia="Times New Roman" w:hAnsi="Tahoma" w:cs="Tahoma"/>
          <w:color w:val="000000"/>
          <w:sz w:val="20"/>
          <w:szCs w:val="20"/>
          <w:lang w:eastAsia="tr-TR"/>
        </w:rPr>
        <w:t>elmaslar</w:t>
      </w:r>
      <w:proofErr w:type="gramEnd"/>
      <w:r w:rsidRPr="00105805">
        <w:rPr>
          <w:rFonts w:ascii="Tahoma" w:eastAsia="Times New Roman" w:hAnsi="Tahoma" w:cs="Tahoma"/>
          <w:color w:val="000000"/>
          <w:sz w:val="20"/>
          <w:szCs w:val="20"/>
          <w:lang w:eastAsia="tr-TR"/>
        </w:rPr>
        <w:t xml:space="preserve">, altın, petrol gazları, işlenmemiş alüminyumdur. </w:t>
      </w:r>
    </w:p>
    <w:p w:rsidR="00105805" w:rsidRPr="00105805" w:rsidRDefault="00105805" w:rsidP="00105805">
      <w:pPr>
        <w:shd w:val="clear" w:color="auto" w:fill="FFFFFF"/>
        <w:spacing w:before="100" w:beforeAutospacing="1" w:after="100" w:afterAutospacing="1" w:line="240" w:lineRule="atLeast"/>
        <w:outlineLvl w:val="3"/>
        <w:rPr>
          <w:rFonts w:ascii="Verdana" w:eastAsia="Times New Roman" w:hAnsi="Verdana" w:cs="Tahoma"/>
          <w:b/>
          <w:bCs/>
          <w:color w:val="000000"/>
          <w:sz w:val="20"/>
          <w:szCs w:val="20"/>
          <w:lang w:eastAsia="tr-TR"/>
        </w:rPr>
      </w:pPr>
      <w:r w:rsidRPr="00105805">
        <w:rPr>
          <w:rFonts w:ascii="Verdana" w:eastAsia="Times New Roman" w:hAnsi="Verdana" w:cs="Tahoma"/>
          <w:b/>
          <w:bCs/>
          <w:color w:val="000000"/>
          <w:sz w:val="20"/>
          <w:szCs w:val="20"/>
          <w:lang w:eastAsia="tr-TR"/>
        </w:rPr>
        <w:t>İthalatında Başlıca Ürünler</w:t>
      </w:r>
    </w:p>
    <w:tbl>
      <w:tblPr>
        <w:tblW w:w="4950" w:type="pct"/>
        <w:tblCellSpacing w:w="7" w:type="dxa"/>
        <w:tblInd w:w="14" w:type="dxa"/>
        <w:shd w:val="clear" w:color="auto" w:fill="FFFFFF"/>
        <w:tblCellMar>
          <w:top w:w="15" w:type="dxa"/>
          <w:left w:w="15" w:type="dxa"/>
          <w:bottom w:w="15" w:type="dxa"/>
          <w:right w:w="15" w:type="dxa"/>
        </w:tblCellMar>
        <w:tblLook w:val="04A0" w:firstRow="1" w:lastRow="0" w:firstColumn="1" w:lastColumn="0" w:noHBand="0" w:noVBand="1"/>
      </w:tblPr>
      <w:tblGrid>
        <w:gridCol w:w="560"/>
        <w:gridCol w:w="5703"/>
        <w:gridCol w:w="923"/>
        <w:gridCol w:w="923"/>
        <w:gridCol w:w="930"/>
      </w:tblGrid>
      <w:tr w:rsidR="00105805" w:rsidRPr="00105805" w:rsidTr="00105805">
        <w:trPr>
          <w:trHeight w:val="270"/>
          <w:tblCellSpacing w:w="7" w:type="dxa"/>
        </w:trPr>
        <w:tc>
          <w:tcPr>
            <w:tcW w:w="0" w:type="auto"/>
            <w:gridSpan w:val="5"/>
            <w:tcBorders>
              <w:top w:val="nil"/>
              <w:left w:val="nil"/>
              <w:bottom w:val="nil"/>
              <w:right w:val="nil"/>
            </w:tcBorders>
            <w:shd w:val="clear" w:color="auto" w:fill="FFFFFF"/>
            <w:tcMar>
              <w:top w:w="15" w:type="dxa"/>
              <w:left w:w="0" w:type="dxa"/>
              <w:bottom w:w="15" w:type="dxa"/>
              <w:right w:w="30" w:type="dxa"/>
            </w:tcMar>
            <w:vAlign w:val="center"/>
            <w:hideMark/>
          </w:tcPr>
          <w:p w:rsidR="00105805" w:rsidRPr="00105805" w:rsidRDefault="00105805" w:rsidP="00105805">
            <w:pPr>
              <w:spacing w:after="30" w:line="240" w:lineRule="auto"/>
              <w:rPr>
                <w:rFonts w:ascii="Times New Roman" w:eastAsia="Times New Roman" w:hAnsi="Times New Roman" w:cs="Times New Roman"/>
                <w:b/>
                <w:bCs/>
                <w:i/>
                <w:iCs/>
                <w:color w:val="003366"/>
                <w:sz w:val="20"/>
                <w:szCs w:val="20"/>
                <w:lang w:eastAsia="tr-TR"/>
              </w:rPr>
            </w:pPr>
            <w:r w:rsidRPr="00105805">
              <w:rPr>
                <w:rFonts w:ascii="Times New Roman" w:eastAsia="Times New Roman" w:hAnsi="Times New Roman" w:cs="Times New Roman"/>
                <w:b/>
                <w:bCs/>
                <w:i/>
                <w:iCs/>
                <w:color w:val="003366"/>
                <w:sz w:val="20"/>
                <w:szCs w:val="20"/>
                <w:lang w:eastAsia="tr-TR"/>
              </w:rPr>
              <w:t>İthal Ettiği Başlıca Ürünler (1 000 Dolar)</w:t>
            </w:r>
          </w:p>
        </w:tc>
      </w:tr>
      <w:tr w:rsidR="00105805" w:rsidRPr="00105805" w:rsidTr="00105805">
        <w:trPr>
          <w:trHeight w:val="270"/>
          <w:tblCellSpacing w:w="7" w:type="dxa"/>
        </w:trPr>
        <w:tc>
          <w:tcPr>
            <w:tcW w:w="0" w:type="auto"/>
            <w:gridSpan w:val="5"/>
            <w:shd w:val="clear" w:color="auto" w:fill="FFFFFF"/>
            <w:tcMar>
              <w:top w:w="15" w:type="dxa"/>
              <w:left w:w="0" w:type="dxa"/>
              <w:bottom w:w="15" w:type="dxa"/>
              <w:right w:w="30" w:type="dxa"/>
            </w:tcMar>
            <w:vAlign w:val="center"/>
            <w:hideMark/>
          </w:tcPr>
          <w:p w:rsidR="00105805" w:rsidRPr="00105805" w:rsidRDefault="00105805" w:rsidP="00105805">
            <w:pPr>
              <w:spacing w:after="0" w:line="240" w:lineRule="auto"/>
              <w:rPr>
                <w:rFonts w:ascii="Times New Roman" w:eastAsia="Times New Roman" w:hAnsi="Times New Roman" w:cs="Times New Roman"/>
                <w:i/>
                <w:iCs/>
                <w:color w:val="333333"/>
                <w:sz w:val="20"/>
                <w:szCs w:val="20"/>
                <w:lang w:eastAsia="tr-TR"/>
              </w:rPr>
            </w:pPr>
            <w:proofErr w:type="spellStart"/>
            <w:proofErr w:type="gramStart"/>
            <w:r w:rsidRPr="00105805">
              <w:rPr>
                <w:rFonts w:ascii="Times New Roman" w:eastAsia="Times New Roman" w:hAnsi="Times New Roman" w:cs="Times New Roman"/>
                <w:i/>
                <w:iCs/>
                <w:color w:val="333333"/>
                <w:sz w:val="20"/>
                <w:szCs w:val="20"/>
                <w:lang w:eastAsia="tr-TR"/>
              </w:rPr>
              <w:t>Kaynak:Trademap</w:t>
            </w:r>
            <w:proofErr w:type="spellEnd"/>
            <w:proofErr w:type="gramEnd"/>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GTİP</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Ürün Adı</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2012</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7113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Kıymetli metaller ve kaplamalarından mücevherci eşyası</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9 906 093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15 881 211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21 339 465</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2710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Petrol yağları ve </w:t>
            </w:r>
            <w:proofErr w:type="spellStart"/>
            <w:r w:rsidRPr="00105805">
              <w:rPr>
                <w:rFonts w:ascii="Verdana" w:eastAsia="Times New Roman" w:hAnsi="Verdana" w:cs="Arial"/>
                <w:color w:val="000000"/>
                <w:sz w:val="20"/>
                <w:szCs w:val="20"/>
                <w:lang w:eastAsia="tr-TR"/>
              </w:rPr>
              <w:t>bitümenli</w:t>
            </w:r>
            <w:proofErr w:type="spellEnd"/>
            <w:r w:rsidRPr="00105805">
              <w:rPr>
                <w:rFonts w:ascii="Verdana" w:eastAsia="Times New Roman" w:hAnsi="Verdana" w:cs="Arial"/>
                <w:color w:val="000000"/>
                <w:sz w:val="20"/>
                <w:szCs w:val="20"/>
                <w:lang w:eastAsia="tr-TR"/>
              </w:rPr>
              <w:t xml:space="preserve"> minerallerden elde edilen yağlar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10 281 869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10 696 921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9 494 378</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8703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Otomobil, steyşın vagonlar, yarış arabaları</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6 412 192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7 083 110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9 260 705</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9999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Başka yerde belirtilmemiş ürünler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5 054 491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8 348 460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8 808 276</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8517</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Telli telefon-telgraf için elektrikli cihazlar</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5 512 040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8 635 001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8 239 897</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7102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Elmaslar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10 557 472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13 373 000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8 220 364</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lastRenderedPageBreak/>
              <w:t>7108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Altın (ham, yarı işlenmiş, pudra halinde)</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2 186 390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2 954 659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8 164 545</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8471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Otomatik bilgi işlem makineleri, üniteleri</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4 028 532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4 969 553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6 248 246</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8802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Diğer hava taşıtları, uzay araçları</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3 584 506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2 990 476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4 652 582</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8411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proofErr w:type="spellStart"/>
            <w:r w:rsidRPr="00105805">
              <w:rPr>
                <w:rFonts w:ascii="Verdana" w:eastAsia="Times New Roman" w:hAnsi="Verdana" w:cs="Arial"/>
                <w:color w:val="000000"/>
                <w:sz w:val="20"/>
                <w:szCs w:val="20"/>
                <w:lang w:eastAsia="tr-TR"/>
              </w:rPr>
              <w:t>Turbojetler</w:t>
            </w:r>
            <w:proofErr w:type="spellEnd"/>
            <w:r w:rsidRPr="00105805">
              <w:rPr>
                <w:rFonts w:ascii="Verdana" w:eastAsia="Times New Roman" w:hAnsi="Verdana" w:cs="Arial"/>
                <w:color w:val="000000"/>
                <w:sz w:val="20"/>
                <w:szCs w:val="20"/>
                <w:lang w:eastAsia="tr-TR"/>
              </w:rPr>
              <w:t>, turbo-</w:t>
            </w:r>
            <w:proofErr w:type="spellStart"/>
            <w:r w:rsidRPr="00105805">
              <w:rPr>
                <w:rFonts w:ascii="Verdana" w:eastAsia="Times New Roman" w:hAnsi="Verdana" w:cs="Arial"/>
                <w:color w:val="000000"/>
                <w:sz w:val="20"/>
                <w:szCs w:val="20"/>
                <w:lang w:eastAsia="tr-TR"/>
              </w:rPr>
              <w:t>propeller</w:t>
            </w:r>
            <w:proofErr w:type="spellEnd"/>
            <w:r w:rsidRPr="00105805">
              <w:rPr>
                <w:rFonts w:ascii="Verdana" w:eastAsia="Times New Roman" w:hAnsi="Verdana" w:cs="Arial"/>
                <w:color w:val="000000"/>
                <w:sz w:val="20"/>
                <w:szCs w:val="20"/>
                <w:lang w:eastAsia="tr-TR"/>
              </w:rPr>
              <w:t>, diğer gaz türbinleri</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2 280 563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2 708 841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3 113 663</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8708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Kara taşıtları için aksam, parçaları</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1 611 689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1 933 171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2 060 010</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8704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Eşya taşımaya mahsus motorlu taşıtlar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931 889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1 085 330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2 039 658</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8528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Televizyon alıcıları, video monitörleri ve </w:t>
            </w:r>
            <w:proofErr w:type="gramStart"/>
            <w:r w:rsidRPr="00105805">
              <w:rPr>
                <w:rFonts w:ascii="Verdana" w:eastAsia="Times New Roman" w:hAnsi="Verdana" w:cs="Arial"/>
                <w:color w:val="000000"/>
                <w:sz w:val="20"/>
                <w:szCs w:val="20"/>
                <w:lang w:eastAsia="tr-TR"/>
              </w:rPr>
              <w:t>projektörler</w:t>
            </w:r>
            <w:proofErr w:type="gramEnd"/>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2 119 035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2 112 837</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2 006 930</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4011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Kauçuktan yeni dış lastikler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1 507 630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1 989 323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1 814 612</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8481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Muslukçu, borucu eşyası-basınç düşürücü, </w:t>
            </w:r>
            <w:proofErr w:type="spellStart"/>
            <w:r w:rsidRPr="00105805">
              <w:rPr>
                <w:rFonts w:ascii="Verdana" w:eastAsia="Times New Roman" w:hAnsi="Verdana" w:cs="Arial"/>
                <w:color w:val="000000"/>
                <w:sz w:val="20"/>
                <w:szCs w:val="20"/>
                <w:lang w:eastAsia="tr-TR"/>
              </w:rPr>
              <w:t>termostatik</w:t>
            </w:r>
            <w:proofErr w:type="spellEnd"/>
            <w:r w:rsidRPr="00105805">
              <w:rPr>
                <w:rFonts w:ascii="Verdana" w:eastAsia="Times New Roman" w:hAnsi="Verdana" w:cs="Arial"/>
                <w:color w:val="000000"/>
                <w:sz w:val="20"/>
                <w:szCs w:val="20"/>
                <w:lang w:eastAsia="tr-TR"/>
              </w:rPr>
              <w:t xml:space="preserve"> valf </w:t>
            </w:r>
            <w:proofErr w:type="gramStart"/>
            <w:r w:rsidRPr="00105805">
              <w:rPr>
                <w:rFonts w:ascii="Verdana" w:eastAsia="Times New Roman" w:hAnsi="Verdana" w:cs="Arial"/>
                <w:color w:val="000000"/>
                <w:sz w:val="20"/>
                <w:szCs w:val="20"/>
                <w:lang w:eastAsia="tr-TR"/>
              </w:rPr>
              <w:t>dahil</w:t>
            </w:r>
            <w:proofErr w:type="gramEnd"/>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1 017 112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1 629 090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1 767 033</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5407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Sentetik iplik, </w:t>
            </w:r>
            <w:proofErr w:type="spellStart"/>
            <w:r w:rsidRPr="00105805">
              <w:rPr>
                <w:rFonts w:ascii="Verdana" w:eastAsia="Times New Roman" w:hAnsi="Verdana" w:cs="Arial"/>
                <w:color w:val="000000"/>
                <w:sz w:val="20"/>
                <w:szCs w:val="20"/>
                <w:lang w:eastAsia="tr-TR"/>
              </w:rPr>
              <w:t>monofil</w:t>
            </w:r>
            <w:proofErr w:type="spellEnd"/>
            <w:r w:rsidRPr="00105805">
              <w:rPr>
                <w:rFonts w:ascii="Verdana" w:eastAsia="Times New Roman" w:hAnsi="Verdana" w:cs="Arial"/>
                <w:color w:val="000000"/>
                <w:sz w:val="20"/>
                <w:szCs w:val="20"/>
                <w:lang w:eastAsia="tr-TR"/>
              </w:rPr>
              <w:t>, şeritlerle dokumalar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1 241 725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1 748 962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1 486 054</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7214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Demir/çelik çubuklar (sıcak </w:t>
            </w:r>
            <w:proofErr w:type="spellStart"/>
            <w:r w:rsidRPr="00105805">
              <w:rPr>
                <w:rFonts w:ascii="Verdana" w:eastAsia="Times New Roman" w:hAnsi="Verdana" w:cs="Arial"/>
                <w:color w:val="000000"/>
                <w:sz w:val="20"/>
                <w:szCs w:val="20"/>
                <w:lang w:eastAsia="tr-TR"/>
              </w:rPr>
              <w:t>haddeli</w:t>
            </w:r>
            <w:proofErr w:type="spellEnd"/>
            <w:r w:rsidRPr="00105805">
              <w:rPr>
                <w:rFonts w:ascii="Verdana" w:eastAsia="Times New Roman" w:hAnsi="Verdana" w:cs="Arial"/>
                <w:color w:val="000000"/>
                <w:sz w:val="20"/>
                <w:szCs w:val="20"/>
                <w:lang w:eastAsia="tr-TR"/>
              </w:rPr>
              <w:t>, dövülmüş, burulmuş, çekilmiş)</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702 464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827 300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1 439 090</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9403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Diğer mobilyalar vb. Aksam, parçaları</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833 238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1 057 389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1 428 911</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8544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İzole edilmiş tel, kablo; diğer izole edilmiş elektrik iletkenleri; fiber optik k</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1 032 711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1 402 576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1 366 480</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3004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Tedavide/korunmada kullanılmak üzere hazırlanan ilaçlar (</w:t>
            </w:r>
            <w:proofErr w:type="spellStart"/>
            <w:r w:rsidRPr="00105805">
              <w:rPr>
                <w:rFonts w:ascii="Verdana" w:eastAsia="Times New Roman" w:hAnsi="Verdana" w:cs="Arial"/>
                <w:color w:val="000000"/>
                <w:sz w:val="20"/>
                <w:szCs w:val="20"/>
                <w:lang w:eastAsia="tr-TR"/>
              </w:rPr>
              <w:t>dozlandırılmış</w:t>
            </w:r>
            <w:proofErr w:type="spellEnd"/>
            <w:r w:rsidRPr="00105805">
              <w:rPr>
                <w:rFonts w:ascii="Verdana" w:eastAsia="Times New Roman" w:hAnsi="Verdana" w:cs="Arial"/>
                <w:color w:val="000000"/>
                <w:sz w:val="20"/>
                <w:szCs w:val="20"/>
                <w:lang w:eastAsia="tr-TR"/>
              </w:rPr>
              <w:t>)</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1 070 601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1 293 476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1 319 449</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7304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Demir/çelikten (dökme hariç)dikişsiz tüp, boru, içi boş </w:t>
            </w:r>
            <w:proofErr w:type="gramStart"/>
            <w:r w:rsidRPr="00105805">
              <w:rPr>
                <w:rFonts w:ascii="Verdana" w:eastAsia="Times New Roman" w:hAnsi="Verdana" w:cs="Arial"/>
                <w:color w:val="000000"/>
                <w:sz w:val="20"/>
                <w:szCs w:val="20"/>
                <w:lang w:eastAsia="tr-TR"/>
              </w:rPr>
              <w:t>profil</w:t>
            </w:r>
            <w:proofErr w:type="gramEnd"/>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905 630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1 350 546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1 318 362</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8431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Ağır iş makine ve cihazlarının aksamı, parçaları</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1 321 764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1 247 972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1 280 252</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6104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Kadın/kız çocuk için takım elbise, takım, ceket, pantolon vs. (örme)</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618 585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889 127</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1 209 808</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7114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Kıymetli metaller ve kaplamalarından kuyumcu eşyası</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1 446 613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1 836 869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1 167 049</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8413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Sıvılar için pompalar, sıvı </w:t>
            </w:r>
            <w:proofErr w:type="spellStart"/>
            <w:r w:rsidRPr="00105805">
              <w:rPr>
                <w:rFonts w:ascii="Verdana" w:eastAsia="Times New Roman" w:hAnsi="Verdana" w:cs="Arial"/>
                <w:color w:val="000000"/>
                <w:sz w:val="20"/>
                <w:szCs w:val="20"/>
                <w:lang w:eastAsia="tr-TR"/>
              </w:rPr>
              <w:t>elevatörleri</w:t>
            </w:r>
            <w:proofErr w:type="spellEnd"/>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796 507</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991 474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1 137 189</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8414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Hava-vakum pompası, hava/gaz kompresörü, vantilatör, aspiratör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752 967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1 094 692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1 132 612</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8443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Matbaacılığa mahsus baskı makineleri, yardımcı makineler</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1 246 804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1 218 887</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1 124 065</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1701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Kamış/pancar şekeri ve kimyaca saf </w:t>
            </w:r>
            <w:proofErr w:type="spellStart"/>
            <w:r w:rsidRPr="00105805">
              <w:rPr>
                <w:rFonts w:ascii="Verdana" w:eastAsia="Times New Roman" w:hAnsi="Verdana" w:cs="Arial"/>
                <w:color w:val="000000"/>
                <w:sz w:val="20"/>
                <w:szCs w:val="20"/>
                <w:lang w:eastAsia="tr-TR"/>
              </w:rPr>
              <w:t>sakkaroz</w:t>
            </w:r>
            <w:proofErr w:type="spellEnd"/>
            <w:r w:rsidRPr="00105805">
              <w:rPr>
                <w:rFonts w:ascii="Verdana" w:eastAsia="Times New Roman" w:hAnsi="Verdana" w:cs="Arial"/>
                <w:color w:val="000000"/>
                <w:sz w:val="20"/>
                <w:szCs w:val="20"/>
                <w:lang w:eastAsia="tr-TR"/>
              </w:rPr>
              <w:t xml:space="preserve"> (katı halde)</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791 095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1 128 795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1 043 312</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8803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Balon, hava gemisi, planör vb. Diğer hava taşıtlarının aksam ve parçaları</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697 566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942 326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1 010 785</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2707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Yüksek sıcaklıkta taşkömürü katranının damıtılmasından elde yağlar ve diğer </w:t>
            </w:r>
            <w:proofErr w:type="spellStart"/>
            <w:r w:rsidRPr="00105805">
              <w:rPr>
                <w:rFonts w:ascii="Verdana" w:eastAsia="Times New Roman" w:hAnsi="Verdana" w:cs="Arial"/>
                <w:color w:val="000000"/>
                <w:sz w:val="20"/>
                <w:szCs w:val="20"/>
                <w:lang w:eastAsia="tr-TR"/>
              </w:rPr>
              <w:t>ürünl</w:t>
            </w:r>
            <w:proofErr w:type="spellEnd"/>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436 224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825 314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890 892</w:t>
            </w:r>
          </w:p>
        </w:tc>
      </w:tr>
    </w:tbl>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105805">
        <w:rPr>
          <w:rFonts w:ascii="Tahoma" w:eastAsia="Times New Roman" w:hAnsi="Tahoma" w:cs="Tahoma"/>
          <w:color w:val="111111"/>
          <w:sz w:val="20"/>
          <w:szCs w:val="20"/>
          <w:lang w:eastAsia="tr-TR"/>
        </w:rPr>
        <w:t>En fazla ithal edilen ürünler kıymetli metaller ve kaplamalarından mücevherci eşyası, elmaslar, petrol yağları, otomobiller, steyşın vagonlar, telli telefon için elektrikli cihazlar, elmaslar, altın, otomatik bilgi işlem makineleri ve diğer hava taşıtlarıdır.</w:t>
      </w:r>
    </w:p>
    <w:p w:rsidR="00105805" w:rsidRPr="00105805" w:rsidRDefault="00105805" w:rsidP="00105805">
      <w:pPr>
        <w:shd w:val="clear" w:color="auto" w:fill="FFFFFF"/>
        <w:spacing w:before="100" w:beforeAutospacing="1" w:after="100" w:afterAutospacing="1" w:line="240" w:lineRule="atLeast"/>
        <w:outlineLvl w:val="3"/>
        <w:rPr>
          <w:rFonts w:ascii="Verdana" w:eastAsia="Times New Roman" w:hAnsi="Verdana" w:cs="Tahoma"/>
          <w:b/>
          <w:bCs/>
          <w:color w:val="000000"/>
          <w:sz w:val="20"/>
          <w:szCs w:val="20"/>
          <w:lang w:eastAsia="tr-TR"/>
        </w:rPr>
      </w:pPr>
      <w:r w:rsidRPr="00105805">
        <w:rPr>
          <w:rFonts w:ascii="Verdana" w:eastAsia="Times New Roman" w:hAnsi="Verdana" w:cs="Tahoma"/>
          <w:b/>
          <w:bCs/>
          <w:color w:val="000000"/>
          <w:sz w:val="20"/>
          <w:szCs w:val="20"/>
          <w:lang w:eastAsia="tr-TR"/>
        </w:rPr>
        <w:lastRenderedPageBreak/>
        <w:t>Başlıca Ülkeler İtibarı ile Dış Ticareti</w:t>
      </w:r>
    </w:p>
    <w:tbl>
      <w:tblPr>
        <w:tblW w:w="4950" w:type="pct"/>
        <w:tblCellSpacing w:w="7" w:type="dxa"/>
        <w:tblInd w:w="14" w:type="dxa"/>
        <w:shd w:val="clear" w:color="auto" w:fill="FFFFFF"/>
        <w:tblCellMar>
          <w:top w:w="15" w:type="dxa"/>
          <w:left w:w="15" w:type="dxa"/>
          <w:bottom w:w="15" w:type="dxa"/>
          <w:right w:w="15" w:type="dxa"/>
        </w:tblCellMar>
        <w:tblLook w:val="04A0" w:firstRow="1" w:lastRow="0" w:firstColumn="1" w:lastColumn="0" w:noHBand="0" w:noVBand="1"/>
      </w:tblPr>
      <w:tblGrid>
        <w:gridCol w:w="2285"/>
        <w:gridCol w:w="2249"/>
        <w:gridCol w:w="2249"/>
        <w:gridCol w:w="2256"/>
      </w:tblGrid>
      <w:tr w:rsidR="00105805" w:rsidRPr="00105805" w:rsidTr="00105805">
        <w:trPr>
          <w:trHeight w:val="270"/>
          <w:tblCellSpacing w:w="7" w:type="dxa"/>
        </w:trPr>
        <w:tc>
          <w:tcPr>
            <w:tcW w:w="0" w:type="auto"/>
            <w:gridSpan w:val="4"/>
            <w:tcBorders>
              <w:top w:val="nil"/>
              <w:left w:val="nil"/>
              <w:bottom w:val="nil"/>
              <w:right w:val="nil"/>
            </w:tcBorders>
            <w:shd w:val="clear" w:color="auto" w:fill="FFFFFF"/>
            <w:tcMar>
              <w:top w:w="15" w:type="dxa"/>
              <w:left w:w="0" w:type="dxa"/>
              <w:bottom w:w="15" w:type="dxa"/>
              <w:right w:w="30" w:type="dxa"/>
            </w:tcMar>
            <w:vAlign w:val="center"/>
            <w:hideMark/>
          </w:tcPr>
          <w:p w:rsidR="00105805" w:rsidRPr="00105805" w:rsidRDefault="00105805" w:rsidP="00105805">
            <w:pPr>
              <w:spacing w:after="30" w:line="240" w:lineRule="auto"/>
              <w:rPr>
                <w:rFonts w:ascii="Times New Roman" w:eastAsia="Times New Roman" w:hAnsi="Times New Roman" w:cs="Times New Roman"/>
                <w:b/>
                <w:bCs/>
                <w:i/>
                <w:iCs/>
                <w:color w:val="003366"/>
                <w:sz w:val="20"/>
                <w:szCs w:val="20"/>
                <w:lang w:eastAsia="tr-TR"/>
              </w:rPr>
            </w:pPr>
            <w:r w:rsidRPr="00105805">
              <w:rPr>
                <w:rFonts w:ascii="Times New Roman" w:eastAsia="Times New Roman" w:hAnsi="Times New Roman" w:cs="Times New Roman"/>
                <w:b/>
                <w:bCs/>
                <w:i/>
                <w:iCs/>
                <w:color w:val="003366"/>
                <w:sz w:val="20"/>
                <w:szCs w:val="20"/>
                <w:lang w:eastAsia="tr-TR"/>
              </w:rPr>
              <w:t>Başlıca Ülkeler İtibarı ile İhracat (1 000 Dolar)</w:t>
            </w:r>
          </w:p>
        </w:tc>
      </w:tr>
      <w:tr w:rsidR="00105805" w:rsidRPr="00105805" w:rsidTr="00105805">
        <w:trPr>
          <w:trHeight w:val="270"/>
          <w:tblCellSpacing w:w="7" w:type="dxa"/>
        </w:trPr>
        <w:tc>
          <w:tcPr>
            <w:tcW w:w="0" w:type="auto"/>
            <w:gridSpan w:val="4"/>
            <w:shd w:val="clear" w:color="auto" w:fill="FFFFFF"/>
            <w:tcMar>
              <w:top w:w="15" w:type="dxa"/>
              <w:left w:w="0" w:type="dxa"/>
              <w:bottom w:w="15" w:type="dxa"/>
              <w:right w:w="30" w:type="dxa"/>
            </w:tcMar>
            <w:vAlign w:val="center"/>
            <w:hideMark/>
          </w:tcPr>
          <w:p w:rsidR="00105805" w:rsidRPr="00105805" w:rsidRDefault="00105805" w:rsidP="00105805">
            <w:pPr>
              <w:spacing w:after="0" w:line="240" w:lineRule="auto"/>
              <w:rPr>
                <w:rFonts w:ascii="Times New Roman" w:eastAsia="Times New Roman" w:hAnsi="Times New Roman" w:cs="Times New Roman"/>
                <w:i/>
                <w:iCs/>
                <w:color w:val="333333"/>
                <w:sz w:val="20"/>
                <w:szCs w:val="20"/>
                <w:lang w:eastAsia="tr-TR"/>
              </w:rPr>
            </w:pPr>
            <w:proofErr w:type="spellStart"/>
            <w:proofErr w:type="gramStart"/>
            <w:r w:rsidRPr="00105805">
              <w:rPr>
                <w:rFonts w:ascii="Times New Roman" w:eastAsia="Times New Roman" w:hAnsi="Times New Roman" w:cs="Times New Roman"/>
                <w:i/>
                <w:iCs/>
                <w:color w:val="333333"/>
                <w:sz w:val="20"/>
                <w:szCs w:val="20"/>
                <w:lang w:eastAsia="tr-TR"/>
              </w:rPr>
              <w:t>Kaynak:Trademap</w:t>
            </w:r>
            <w:proofErr w:type="spellEnd"/>
            <w:proofErr w:type="gramEnd"/>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Ülkeler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2012</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Toplam</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158 903 511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214 765 761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192 782 569</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Japonya</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29 336 752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42 863 623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43 991 705</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Hindistan</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30 907 472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35 471 580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37 799 115</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Singapur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6 383 486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11 574 069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15 686 213</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Tayland</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8 654 886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14 468 790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15 645 229</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Kore Cum.</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12 170 134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14 759 366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1 510 0647</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Çin</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4 451 552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8 306 606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10 816 254</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Pakistan</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5 247 779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6 818 753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7 210 795</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Hong Kong</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2 319 978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3 707 119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4 757 133</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Tayvan</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3 527 418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4 280 670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4 664 767</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Malezya</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2 356 876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2 676 915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4 012 210</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Türkiye</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698 421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1 649 456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3 596 546</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Belçika</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2 012 896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3 442 409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3 161 245</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Avustralya</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2 003 147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4 265 851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3 152 177</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ABD</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1 195 858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2 508 196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2 313 638</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Filipinler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1 413 527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1 759 938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1 980 621</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İngiltere</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1 374 495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1 661 474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1 743 823</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Endonezya</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487 442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797 316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1 731 020</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Fransa</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1 140 536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1 728 513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1 490 023</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Sri Lanka</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335 632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814 864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1 293 172</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Hollanda</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1 049 041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1 651 475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1 225 353</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Güney Afrika</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892 382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952 062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1 080 431</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Almanya</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686 875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1 407 870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1 058 105</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İtalya</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598 291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1 192 171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837 327</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Mısır</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730 199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804 686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810 113</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İsviçre</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726 266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559 993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587 993</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Madagaskar</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72 733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495 571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475 499</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Maldivler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205 552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308 388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465 156</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Mozambik</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47 618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401 084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453 887</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Uganda</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391 040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373 308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450 834</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Lübnan</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369 764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594 339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416 430</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Gana</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143 713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307 116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357 200</w:t>
            </w:r>
          </w:p>
        </w:tc>
      </w:tr>
    </w:tbl>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105805">
        <w:rPr>
          <w:rFonts w:ascii="Tahoma" w:eastAsia="Times New Roman" w:hAnsi="Tahoma" w:cs="Tahoma"/>
          <w:color w:val="111111"/>
          <w:sz w:val="20"/>
          <w:szCs w:val="20"/>
          <w:lang w:eastAsia="tr-TR"/>
        </w:rPr>
        <w:t>BAE’nin başlıca ihraç pazarları arasında Japonya, Hindistan, Singapur, Tayland, Güney Kore Cum</w:t>
      </w:r>
      <w:proofErr w:type="gramStart"/>
      <w:r w:rsidRPr="00105805">
        <w:rPr>
          <w:rFonts w:ascii="Tahoma" w:eastAsia="Times New Roman" w:hAnsi="Tahoma" w:cs="Tahoma"/>
          <w:color w:val="111111"/>
          <w:sz w:val="20"/>
          <w:szCs w:val="20"/>
          <w:lang w:eastAsia="tr-TR"/>
        </w:rPr>
        <w:t>.,</w:t>
      </w:r>
      <w:proofErr w:type="gramEnd"/>
      <w:r w:rsidRPr="00105805">
        <w:rPr>
          <w:rFonts w:ascii="Tahoma" w:eastAsia="Times New Roman" w:hAnsi="Tahoma" w:cs="Tahoma"/>
          <w:color w:val="111111"/>
          <w:sz w:val="20"/>
          <w:szCs w:val="20"/>
          <w:lang w:eastAsia="tr-TR"/>
        </w:rPr>
        <w:t xml:space="preserve"> Çin, Pakistan, Hong Kong, Tayvan, Malezya ve Türkiye bulunmaktadır. </w:t>
      </w:r>
      <w:r w:rsidRPr="00105805">
        <w:rPr>
          <w:rFonts w:ascii="Tahoma" w:eastAsia="Times New Roman" w:hAnsi="Tahoma" w:cs="Tahoma"/>
          <w:color w:val="111111"/>
          <w:sz w:val="20"/>
          <w:szCs w:val="20"/>
          <w:lang w:eastAsia="tr-TR"/>
        </w:rPr>
        <w:br/>
        <w:t> </w:t>
      </w:r>
    </w:p>
    <w:tbl>
      <w:tblPr>
        <w:tblW w:w="4950" w:type="pct"/>
        <w:tblCellSpacing w:w="7" w:type="dxa"/>
        <w:tblInd w:w="14" w:type="dxa"/>
        <w:shd w:val="clear" w:color="auto" w:fill="FFFFFF"/>
        <w:tblCellMar>
          <w:top w:w="15" w:type="dxa"/>
          <w:left w:w="15" w:type="dxa"/>
          <w:bottom w:w="15" w:type="dxa"/>
          <w:right w:w="15" w:type="dxa"/>
        </w:tblCellMar>
        <w:tblLook w:val="04A0" w:firstRow="1" w:lastRow="0" w:firstColumn="1" w:lastColumn="0" w:noHBand="0" w:noVBand="1"/>
      </w:tblPr>
      <w:tblGrid>
        <w:gridCol w:w="2285"/>
        <w:gridCol w:w="2249"/>
        <w:gridCol w:w="2249"/>
        <w:gridCol w:w="2256"/>
      </w:tblGrid>
      <w:tr w:rsidR="00105805" w:rsidRPr="00105805" w:rsidTr="00105805">
        <w:trPr>
          <w:trHeight w:val="270"/>
          <w:tblCellSpacing w:w="7" w:type="dxa"/>
        </w:trPr>
        <w:tc>
          <w:tcPr>
            <w:tcW w:w="0" w:type="auto"/>
            <w:gridSpan w:val="4"/>
            <w:tcBorders>
              <w:top w:val="nil"/>
              <w:left w:val="nil"/>
              <w:bottom w:val="nil"/>
              <w:right w:val="nil"/>
            </w:tcBorders>
            <w:shd w:val="clear" w:color="auto" w:fill="FFFFFF"/>
            <w:tcMar>
              <w:top w:w="15" w:type="dxa"/>
              <w:left w:w="0" w:type="dxa"/>
              <w:bottom w:w="15" w:type="dxa"/>
              <w:right w:w="30" w:type="dxa"/>
            </w:tcMar>
            <w:vAlign w:val="center"/>
            <w:hideMark/>
          </w:tcPr>
          <w:p w:rsidR="00105805" w:rsidRPr="00105805" w:rsidRDefault="00105805" w:rsidP="00105805">
            <w:pPr>
              <w:spacing w:after="30" w:line="240" w:lineRule="auto"/>
              <w:rPr>
                <w:rFonts w:ascii="Times New Roman" w:eastAsia="Times New Roman" w:hAnsi="Times New Roman" w:cs="Times New Roman"/>
                <w:b/>
                <w:bCs/>
                <w:i/>
                <w:iCs/>
                <w:color w:val="003366"/>
                <w:sz w:val="20"/>
                <w:szCs w:val="20"/>
                <w:lang w:eastAsia="tr-TR"/>
              </w:rPr>
            </w:pPr>
            <w:r w:rsidRPr="00105805">
              <w:rPr>
                <w:rFonts w:ascii="Times New Roman" w:eastAsia="Times New Roman" w:hAnsi="Times New Roman" w:cs="Times New Roman"/>
                <w:b/>
                <w:bCs/>
                <w:i/>
                <w:iCs/>
                <w:color w:val="003366"/>
                <w:sz w:val="20"/>
                <w:szCs w:val="20"/>
                <w:lang w:eastAsia="tr-TR"/>
              </w:rPr>
              <w:t>Başlıca Ülkeler İtibarı ile İthalat (1 000 Dolar)</w:t>
            </w:r>
          </w:p>
        </w:tc>
      </w:tr>
      <w:tr w:rsidR="00105805" w:rsidRPr="00105805" w:rsidTr="00105805">
        <w:trPr>
          <w:trHeight w:val="270"/>
          <w:tblCellSpacing w:w="7" w:type="dxa"/>
        </w:trPr>
        <w:tc>
          <w:tcPr>
            <w:tcW w:w="0" w:type="auto"/>
            <w:gridSpan w:val="4"/>
            <w:shd w:val="clear" w:color="auto" w:fill="FFFFFF"/>
            <w:tcMar>
              <w:top w:w="15" w:type="dxa"/>
              <w:left w:w="0" w:type="dxa"/>
              <w:bottom w:w="15" w:type="dxa"/>
              <w:right w:w="30" w:type="dxa"/>
            </w:tcMar>
            <w:vAlign w:val="center"/>
            <w:hideMark/>
          </w:tcPr>
          <w:p w:rsidR="00105805" w:rsidRPr="00105805" w:rsidRDefault="00105805" w:rsidP="00105805">
            <w:pPr>
              <w:spacing w:after="0" w:line="240" w:lineRule="auto"/>
              <w:rPr>
                <w:rFonts w:ascii="Times New Roman" w:eastAsia="Times New Roman" w:hAnsi="Times New Roman" w:cs="Times New Roman"/>
                <w:i/>
                <w:iCs/>
                <w:color w:val="333333"/>
                <w:sz w:val="20"/>
                <w:szCs w:val="20"/>
                <w:lang w:eastAsia="tr-TR"/>
              </w:rPr>
            </w:pPr>
            <w:proofErr w:type="spellStart"/>
            <w:proofErr w:type="gramStart"/>
            <w:r w:rsidRPr="00105805">
              <w:rPr>
                <w:rFonts w:ascii="Times New Roman" w:eastAsia="Times New Roman" w:hAnsi="Times New Roman" w:cs="Times New Roman"/>
                <w:i/>
                <w:iCs/>
                <w:color w:val="333333"/>
                <w:sz w:val="20"/>
                <w:szCs w:val="20"/>
                <w:lang w:eastAsia="tr-TR"/>
              </w:rPr>
              <w:t>Kaynak:Trademap</w:t>
            </w:r>
            <w:proofErr w:type="spellEnd"/>
            <w:proofErr w:type="gramEnd"/>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Ülkeler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2012</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lastRenderedPageBreak/>
              <w:t>Toplam</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158 903 511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214 765 761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192 782 569</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Japonya</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29 336 752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42 863 623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43 991 705</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Hindistan</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30 907 472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35 471 580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37 799 115</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Singapur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6 383 486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11 574 069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15 686 213</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Tayland</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8 654 886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14 468 790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15 645 229</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Kore Cum.</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12 170 134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14 759 366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1 510 0647</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Çin</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4 451 552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8 306 606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10 816 254</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Pakistan</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5 247 779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6 818 753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7 210 795</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Hong Kong</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2 319 978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3 707 119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4 757 133</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Tayvan</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3 527 418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4 280 670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4 664 767</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Malezya</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2 356 876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2 676 915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4 012 210</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Türkiye</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698 421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1 649 456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3 596 546</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Belçika</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2 012 896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3 442 409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3 161 245</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Avustralya</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2 003 147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4 265 851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3 152 177</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ABD</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1 195 858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2 508 196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2 313 638</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Filipinler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1 413 527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1 759 938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1 980 621</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İngiltere</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1 374 495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1 661 474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1 743 823</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Endonezya</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487 442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797 316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1 731 020</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Fransa</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1 140 536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1 728 513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1 490 023</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Sri Lanka</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335 632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814 864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1 293 172</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Hollanda</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1 049 041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1 651 475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1 225 353</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Güney Afrika</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892 382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952 062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1 080 431</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Almanya</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686 875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1 407 870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1 058 105</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İtalya</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598 291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1 192 171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837 327</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Mısır</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730 199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804 686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810 113</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İsviçre</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726 266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559 993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587 993</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Madagaskar</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72 733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495 571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475 499</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Maldivler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205 552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308 388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465 156</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Mozambik</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47 618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401 084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453 887</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Uganda</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391 040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373 308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450 834</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Lübnan</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369 764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594 339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416 430</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Gana</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143 713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307 116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357 200</w:t>
            </w:r>
          </w:p>
        </w:tc>
      </w:tr>
    </w:tbl>
    <w:p w:rsidR="00110A4A" w:rsidRDefault="00105805" w:rsidP="00105805">
      <w:pPr>
        <w:shd w:val="clear" w:color="auto" w:fill="FFFFFF"/>
        <w:spacing w:beforeAutospacing="1" w:after="0" w:afterAutospacing="1" w:line="240" w:lineRule="auto"/>
        <w:rPr>
          <w:rFonts w:ascii="Tahoma" w:eastAsia="Times New Roman" w:hAnsi="Tahoma" w:cs="Tahoma"/>
          <w:color w:val="000000"/>
          <w:sz w:val="20"/>
          <w:szCs w:val="20"/>
          <w:lang w:eastAsia="tr-TR"/>
        </w:rPr>
      </w:pPr>
      <w:r w:rsidRPr="00105805">
        <w:rPr>
          <w:rFonts w:ascii="Tahoma" w:eastAsia="Times New Roman" w:hAnsi="Tahoma" w:cs="Tahoma"/>
          <w:color w:val="000000"/>
          <w:sz w:val="20"/>
          <w:szCs w:val="20"/>
          <w:lang w:eastAsia="tr-TR"/>
        </w:rPr>
        <w:t>BAE’ye ihracat yapan pazarlar, birçok ürün grubunun ithal edilm</w:t>
      </w:r>
      <w:r w:rsidR="00110A4A">
        <w:rPr>
          <w:rFonts w:ascii="Tahoma" w:eastAsia="Times New Roman" w:hAnsi="Tahoma" w:cs="Tahoma"/>
          <w:color w:val="000000"/>
          <w:sz w:val="20"/>
          <w:szCs w:val="20"/>
          <w:lang w:eastAsia="tr-TR"/>
        </w:rPr>
        <w:t>esinden kaynaklanan bir biçimde</w:t>
      </w:r>
    </w:p>
    <w:p w:rsidR="00105805" w:rsidRPr="00105805" w:rsidRDefault="00105805" w:rsidP="00105805">
      <w:pPr>
        <w:shd w:val="clear" w:color="auto" w:fill="FFFFFF"/>
        <w:spacing w:beforeAutospacing="1" w:after="0" w:afterAutospacing="1" w:line="240" w:lineRule="auto"/>
        <w:rPr>
          <w:rFonts w:ascii="Tahoma" w:eastAsia="Times New Roman" w:hAnsi="Tahoma" w:cs="Tahoma"/>
          <w:color w:val="000000"/>
          <w:sz w:val="20"/>
          <w:szCs w:val="20"/>
          <w:lang w:eastAsia="tr-TR"/>
        </w:rPr>
      </w:pPr>
      <w:proofErr w:type="gramStart"/>
      <w:r w:rsidRPr="00105805">
        <w:rPr>
          <w:rFonts w:ascii="Tahoma" w:eastAsia="Times New Roman" w:hAnsi="Tahoma" w:cs="Tahoma"/>
          <w:color w:val="000000"/>
          <w:sz w:val="20"/>
          <w:szCs w:val="20"/>
          <w:lang w:eastAsia="tr-TR"/>
        </w:rPr>
        <w:t>çeşitlilik</w:t>
      </w:r>
      <w:proofErr w:type="gramEnd"/>
      <w:r w:rsidRPr="00105805">
        <w:rPr>
          <w:rFonts w:ascii="Tahoma" w:eastAsia="Times New Roman" w:hAnsi="Tahoma" w:cs="Tahoma"/>
          <w:color w:val="000000"/>
          <w:sz w:val="20"/>
          <w:szCs w:val="20"/>
          <w:lang w:eastAsia="tr-TR"/>
        </w:rPr>
        <w:t xml:space="preserve"> arz etmektedir. BAE’ye en fazla ihracat yapan ülkeler Hin</w:t>
      </w:r>
    </w:p>
    <w:p w:rsidR="00105805" w:rsidRPr="00105805" w:rsidRDefault="00105805" w:rsidP="00105805">
      <w:pPr>
        <w:shd w:val="clear" w:color="auto" w:fill="FFFFFF"/>
        <w:spacing w:beforeAutospacing="1" w:after="0" w:afterAutospacing="1" w:line="240" w:lineRule="auto"/>
        <w:rPr>
          <w:rFonts w:ascii="Tahoma" w:eastAsia="Times New Roman" w:hAnsi="Tahoma" w:cs="Tahoma"/>
          <w:color w:val="000000"/>
          <w:sz w:val="20"/>
          <w:szCs w:val="20"/>
          <w:lang w:eastAsia="tr-TR"/>
        </w:rPr>
      </w:pPr>
      <w:proofErr w:type="spellStart"/>
      <w:r w:rsidRPr="00105805">
        <w:rPr>
          <w:rFonts w:ascii="Tahoma" w:eastAsia="Times New Roman" w:hAnsi="Tahoma" w:cs="Tahoma"/>
          <w:color w:val="000000"/>
          <w:sz w:val="20"/>
          <w:szCs w:val="20"/>
          <w:lang w:eastAsia="tr-TR"/>
        </w:rPr>
        <w:t>distan</w:t>
      </w:r>
      <w:proofErr w:type="spellEnd"/>
      <w:r w:rsidRPr="00105805">
        <w:rPr>
          <w:rFonts w:ascii="Tahoma" w:eastAsia="Times New Roman" w:hAnsi="Tahoma" w:cs="Tahoma"/>
          <w:color w:val="000000"/>
          <w:sz w:val="20"/>
          <w:szCs w:val="20"/>
          <w:lang w:eastAsia="tr-TR"/>
        </w:rPr>
        <w:t>, Çin, ABD, Almanya, İngiltere, Japonya, Türkiye, İtalya, Kore Cum</w:t>
      </w:r>
      <w:proofErr w:type="gramStart"/>
      <w:r w:rsidRPr="00105805">
        <w:rPr>
          <w:rFonts w:ascii="Tahoma" w:eastAsia="Times New Roman" w:hAnsi="Tahoma" w:cs="Tahoma"/>
          <w:color w:val="000000"/>
          <w:sz w:val="20"/>
          <w:szCs w:val="20"/>
          <w:lang w:eastAsia="tr-TR"/>
        </w:rPr>
        <w:t>.,</w:t>
      </w:r>
      <w:proofErr w:type="gramEnd"/>
      <w:r w:rsidRPr="00105805">
        <w:rPr>
          <w:rFonts w:ascii="Tahoma" w:eastAsia="Times New Roman" w:hAnsi="Tahoma" w:cs="Tahoma"/>
          <w:color w:val="000000"/>
          <w:sz w:val="20"/>
          <w:szCs w:val="20"/>
          <w:lang w:eastAsia="tr-TR"/>
        </w:rPr>
        <w:t xml:space="preserve"> Singapur ve Hong Kong’dur.</w:t>
      </w:r>
    </w:p>
    <w:p w:rsidR="00105805" w:rsidRPr="00105805" w:rsidRDefault="00105805" w:rsidP="00105805">
      <w:pPr>
        <w:shd w:val="clear" w:color="auto" w:fill="FFFFFF"/>
        <w:spacing w:before="100" w:beforeAutospacing="1" w:after="100" w:afterAutospacing="1" w:line="270" w:lineRule="atLeast"/>
        <w:textAlignment w:val="center"/>
        <w:outlineLvl w:val="4"/>
        <w:rPr>
          <w:rFonts w:ascii="Verdana" w:eastAsia="Times New Roman" w:hAnsi="Verdana" w:cs="Tahoma"/>
          <w:b/>
          <w:bCs/>
          <w:color w:val="000000"/>
          <w:sz w:val="20"/>
          <w:szCs w:val="20"/>
          <w:lang w:eastAsia="tr-TR"/>
        </w:rPr>
      </w:pPr>
      <w:r w:rsidRPr="00105805">
        <w:rPr>
          <w:rFonts w:ascii="Verdana" w:eastAsia="Times New Roman" w:hAnsi="Verdana" w:cs="Tahoma"/>
          <w:b/>
          <w:bCs/>
          <w:color w:val="000000"/>
          <w:sz w:val="20"/>
          <w:szCs w:val="20"/>
          <w:lang w:eastAsia="tr-TR"/>
        </w:rPr>
        <w:t>Türkiye ile Ticaret</w:t>
      </w:r>
    </w:p>
    <w:p w:rsidR="00105805" w:rsidRPr="00105805" w:rsidRDefault="00105805" w:rsidP="00105805">
      <w:pPr>
        <w:shd w:val="clear" w:color="auto" w:fill="FFFFFF"/>
        <w:spacing w:before="100" w:beforeAutospacing="1" w:after="100" w:afterAutospacing="1" w:line="240" w:lineRule="atLeast"/>
        <w:outlineLvl w:val="3"/>
        <w:rPr>
          <w:rFonts w:ascii="Verdana" w:eastAsia="Times New Roman" w:hAnsi="Verdana" w:cs="Tahoma"/>
          <w:b/>
          <w:bCs/>
          <w:color w:val="000000"/>
          <w:sz w:val="20"/>
          <w:szCs w:val="20"/>
          <w:lang w:eastAsia="tr-TR"/>
        </w:rPr>
      </w:pPr>
      <w:r w:rsidRPr="00105805">
        <w:rPr>
          <w:rFonts w:ascii="Verdana" w:eastAsia="Times New Roman" w:hAnsi="Verdana" w:cs="Tahoma"/>
          <w:b/>
          <w:bCs/>
          <w:color w:val="000000"/>
          <w:sz w:val="20"/>
          <w:szCs w:val="20"/>
          <w:lang w:eastAsia="tr-TR"/>
        </w:rPr>
        <w:t>Genel Durum</w:t>
      </w:r>
    </w:p>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105805">
        <w:rPr>
          <w:rFonts w:ascii="Tahoma" w:eastAsia="Times New Roman" w:hAnsi="Tahoma" w:cs="Tahoma"/>
          <w:color w:val="111111"/>
          <w:sz w:val="20"/>
          <w:szCs w:val="20"/>
          <w:lang w:eastAsia="tr-TR"/>
        </w:rPr>
        <w:t>Birleşik Arap Emirlikleri, Bakanlığımız tarafından 2014-2015 döneminde Öncelikli Ülkelerinden birisi olarak belirlenmiştir. </w:t>
      </w:r>
    </w:p>
    <w:tbl>
      <w:tblPr>
        <w:tblW w:w="4950" w:type="pct"/>
        <w:tblCellSpacing w:w="7" w:type="dxa"/>
        <w:tblInd w:w="14" w:type="dxa"/>
        <w:shd w:val="clear" w:color="auto" w:fill="FFFFFF"/>
        <w:tblCellMar>
          <w:top w:w="15" w:type="dxa"/>
          <w:left w:w="15" w:type="dxa"/>
          <w:bottom w:w="15" w:type="dxa"/>
          <w:right w:w="15" w:type="dxa"/>
        </w:tblCellMar>
        <w:tblLook w:val="04A0" w:firstRow="1" w:lastRow="0" w:firstColumn="1" w:lastColumn="0" w:noHBand="0" w:noVBand="1"/>
      </w:tblPr>
      <w:tblGrid>
        <w:gridCol w:w="860"/>
        <w:gridCol w:w="1182"/>
        <w:gridCol w:w="1095"/>
        <w:gridCol w:w="3087"/>
        <w:gridCol w:w="2815"/>
      </w:tblGrid>
      <w:tr w:rsidR="00105805" w:rsidRPr="00105805" w:rsidTr="00105805">
        <w:trPr>
          <w:trHeight w:val="270"/>
          <w:tblCellSpacing w:w="7" w:type="dxa"/>
        </w:trPr>
        <w:tc>
          <w:tcPr>
            <w:tcW w:w="0" w:type="auto"/>
            <w:gridSpan w:val="5"/>
            <w:tcBorders>
              <w:top w:val="nil"/>
              <w:left w:val="nil"/>
              <w:bottom w:val="nil"/>
              <w:right w:val="nil"/>
            </w:tcBorders>
            <w:shd w:val="clear" w:color="auto" w:fill="FFFFFF"/>
            <w:tcMar>
              <w:top w:w="15" w:type="dxa"/>
              <w:left w:w="0" w:type="dxa"/>
              <w:bottom w:w="15" w:type="dxa"/>
              <w:right w:w="30" w:type="dxa"/>
            </w:tcMar>
            <w:vAlign w:val="center"/>
            <w:hideMark/>
          </w:tcPr>
          <w:p w:rsidR="00105805" w:rsidRPr="00105805" w:rsidRDefault="00105805" w:rsidP="00105805">
            <w:pPr>
              <w:spacing w:after="30" w:line="240" w:lineRule="auto"/>
              <w:rPr>
                <w:rFonts w:ascii="Times New Roman" w:eastAsia="Times New Roman" w:hAnsi="Times New Roman" w:cs="Times New Roman"/>
                <w:b/>
                <w:bCs/>
                <w:i/>
                <w:iCs/>
                <w:color w:val="003366"/>
                <w:sz w:val="20"/>
                <w:szCs w:val="20"/>
                <w:lang w:eastAsia="tr-TR"/>
              </w:rPr>
            </w:pPr>
            <w:r w:rsidRPr="00105805">
              <w:rPr>
                <w:rFonts w:ascii="Times New Roman" w:eastAsia="Times New Roman" w:hAnsi="Times New Roman" w:cs="Times New Roman"/>
                <w:b/>
                <w:bCs/>
                <w:i/>
                <w:iCs/>
                <w:color w:val="003366"/>
                <w:sz w:val="20"/>
                <w:szCs w:val="20"/>
                <w:lang w:eastAsia="tr-TR"/>
              </w:rPr>
              <w:lastRenderedPageBreak/>
              <w:t>Türkiye-BAE Dış Ticaret Değerleri (Milyon Dolar)</w:t>
            </w:r>
          </w:p>
        </w:tc>
      </w:tr>
      <w:tr w:rsidR="00105805" w:rsidRPr="00105805" w:rsidTr="00105805">
        <w:trPr>
          <w:trHeight w:val="270"/>
          <w:tblCellSpacing w:w="7" w:type="dxa"/>
        </w:trPr>
        <w:tc>
          <w:tcPr>
            <w:tcW w:w="0" w:type="auto"/>
            <w:gridSpan w:val="5"/>
            <w:shd w:val="clear" w:color="auto" w:fill="FFFFFF"/>
            <w:tcMar>
              <w:top w:w="15" w:type="dxa"/>
              <w:left w:w="0" w:type="dxa"/>
              <w:bottom w:w="15" w:type="dxa"/>
              <w:right w:w="30" w:type="dxa"/>
            </w:tcMar>
            <w:vAlign w:val="center"/>
            <w:hideMark/>
          </w:tcPr>
          <w:p w:rsidR="00105805" w:rsidRPr="00105805" w:rsidRDefault="00105805" w:rsidP="00105805">
            <w:pPr>
              <w:spacing w:after="0" w:line="240" w:lineRule="auto"/>
              <w:rPr>
                <w:rFonts w:ascii="Times New Roman" w:eastAsia="Times New Roman" w:hAnsi="Times New Roman" w:cs="Times New Roman"/>
                <w:i/>
                <w:iCs/>
                <w:color w:val="333333"/>
                <w:sz w:val="20"/>
                <w:szCs w:val="20"/>
                <w:lang w:eastAsia="tr-TR"/>
              </w:rPr>
            </w:pPr>
            <w:proofErr w:type="spellStart"/>
            <w:proofErr w:type="gramStart"/>
            <w:r w:rsidRPr="00105805">
              <w:rPr>
                <w:rFonts w:ascii="Times New Roman" w:eastAsia="Times New Roman" w:hAnsi="Times New Roman" w:cs="Times New Roman"/>
                <w:i/>
                <w:iCs/>
                <w:color w:val="333333"/>
                <w:sz w:val="20"/>
                <w:szCs w:val="20"/>
                <w:lang w:eastAsia="tr-TR"/>
              </w:rPr>
              <w:t>Kaynak:Trademap</w:t>
            </w:r>
            <w:proofErr w:type="spellEnd"/>
            <w:proofErr w:type="gramEnd"/>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Yıl</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İhracat</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İthalat</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Dış Ticaret Dengesi</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Dış Ticaret Hacmi</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2000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315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276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355</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2001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380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315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445</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2002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457</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100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356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558</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2003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702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113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589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816</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2004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1 143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183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960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1 327</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2005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1 675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1 469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1 880</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2006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1 985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352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1 633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2 337</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2007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3 240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470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2 770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3 711</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2008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7 975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691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7 284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8 666</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2009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2 896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667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2 229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3 563</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3 332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698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2 634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4 030</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3 706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1 649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2 057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5 355</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8 174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3 596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4 578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11 770</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4 967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5 384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-417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10 351</w:t>
            </w:r>
          </w:p>
        </w:tc>
      </w:tr>
    </w:tbl>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105805">
        <w:rPr>
          <w:rFonts w:ascii="Tahoma" w:eastAsia="Times New Roman" w:hAnsi="Tahoma" w:cs="Tahoma"/>
          <w:color w:val="111111"/>
          <w:sz w:val="20"/>
          <w:szCs w:val="20"/>
          <w:lang w:eastAsia="tr-TR"/>
        </w:rPr>
        <w:t xml:space="preserve">2013 yılında Türkiye’nin BAE’ye ihraç ettiği ürünlerin başında, toplam ihracat içindeki % 29 pay ile kıymetli metaller ve kaplamalarından mücevherci eşyası gelmektedir. Ham ve yarı işlenmiş altın (% 20,7), demir/ çelik çubuklar (% 12 ) ve petrol yağları ve </w:t>
      </w:r>
      <w:proofErr w:type="spellStart"/>
      <w:r w:rsidRPr="00105805">
        <w:rPr>
          <w:rFonts w:ascii="Tahoma" w:eastAsia="Times New Roman" w:hAnsi="Tahoma" w:cs="Tahoma"/>
          <w:color w:val="111111"/>
          <w:sz w:val="20"/>
          <w:szCs w:val="20"/>
          <w:lang w:eastAsia="tr-TR"/>
        </w:rPr>
        <w:t>bitümenli</w:t>
      </w:r>
      <w:proofErr w:type="spellEnd"/>
      <w:r w:rsidRPr="00105805">
        <w:rPr>
          <w:rFonts w:ascii="Tahoma" w:eastAsia="Times New Roman" w:hAnsi="Tahoma" w:cs="Tahoma"/>
          <w:color w:val="111111"/>
          <w:sz w:val="20"/>
          <w:szCs w:val="20"/>
          <w:lang w:eastAsia="tr-TR"/>
        </w:rPr>
        <w:t xml:space="preserve"> minerallerden elde edilen yağlar (% 11,8) pay ile BAE’nin Türkiye’den ithal ettiği diğer başlıca ürünlerdir.</w:t>
      </w:r>
    </w:p>
    <w:tbl>
      <w:tblPr>
        <w:tblW w:w="4950" w:type="pct"/>
        <w:tblCellSpacing w:w="7" w:type="dxa"/>
        <w:tblInd w:w="14" w:type="dxa"/>
        <w:shd w:val="clear" w:color="auto" w:fill="FFFFFF"/>
        <w:tblCellMar>
          <w:top w:w="15" w:type="dxa"/>
          <w:left w:w="15" w:type="dxa"/>
          <w:bottom w:w="15" w:type="dxa"/>
          <w:right w:w="15" w:type="dxa"/>
        </w:tblCellMar>
        <w:tblLook w:val="04A0" w:firstRow="1" w:lastRow="0" w:firstColumn="1" w:lastColumn="0" w:noHBand="0" w:noVBand="1"/>
      </w:tblPr>
      <w:tblGrid>
        <w:gridCol w:w="869"/>
        <w:gridCol w:w="5599"/>
        <w:gridCol w:w="768"/>
        <w:gridCol w:w="898"/>
        <w:gridCol w:w="905"/>
      </w:tblGrid>
      <w:tr w:rsidR="00105805" w:rsidRPr="00105805" w:rsidTr="00105805">
        <w:trPr>
          <w:gridAfter w:val="2"/>
          <w:trHeight w:val="270"/>
          <w:tblCellSpacing w:w="7" w:type="dxa"/>
        </w:trPr>
        <w:tc>
          <w:tcPr>
            <w:tcW w:w="0" w:type="auto"/>
            <w:gridSpan w:val="3"/>
            <w:tcBorders>
              <w:top w:val="nil"/>
              <w:left w:val="nil"/>
              <w:bottom w:val="nil"/>
              <w:right w:val="nil"/>
            </w:tcBorders>
            <w:shd w:val="clear" w:color="auto" w:fill="FFFFFF"/>
            <w:tcMar>
              <w:top w:w="15" w:type="dxa"/>
              <w:left w:w="0" w:type="dxa"/>
              <w:bottom w:w="15" w:type="dxa"/>
              <w:right w:w="30" w:type="dxa"/>
            </w:tcMar>
            <w:vAlign w:val="center"/>
            <w:hideMark/>
          </w:tcPr>
          <w:p w:rsidR="00105805" w:rsidRPr="00105805" w:rsidRDefault="00105805" w:rsidP="00105805">
            <w:pPr>
              <w:spacing w:after="30" w:line="240" w:lineRule="auto"/>
              <w:rPr>
                <w:rFonts w:ascii="Times New Roman" w:eastAsia="Times New Roman" w:hAnsi="Times New Roman" w:cs="Times New Roman"/>
                <w:b/>
                <w:bCs/>
                <w:i/>
                <w:iCs/>
                <w:color w:val="003366"/>
                <w:sz w:val="20"/>
                <w:szCs w:val="20"/>
                <w:lang w:eastAsia="tr-TR"/>
              </w:rPr>
            </w:pPr>
            <w:r w:rsidRPr="00105805">
              <w:rPr>
                <w:rFonts w:ascii="Times New Roman" w:eastAsia="Times New Roman" w:hAnsi="Times New Roman" w:cs="Times New Roman"/>
                <w:b/>
                <w:bCs/>
                <w:i/>
                <w:iCs/>
                <w:color w:val="003366"/>
                <w:sz w:val="20"/>
                <w:szCs w:val="20"/>
                <w:lang w:eastAsia="tr-TR"/>
              </w:rPr>
              <w:t>Türkiye'nin BAE'ye İhracatında Başlıca Ürünler (Milyon Dolar)</w:t>
            </w:r>
          </w:p>
        </w:tc>
      </w:tr>
      <w:tr w:rsidR="00105805" w:rsidRPr="00105805" w:rsidTr="00105805">
        <w:trPr>
          <w:gridAfter w:val="2"/>
          <w:trHeight w:val="270"/>
          <w:tblCellSpacing w:w="7" w:type="dxa"/>
        </w:trPr>
        <w:tc>
          <w:tcPr>
            <w:tcW w:w="0" w:type="auto"/>
            <w:gridSpan w:val="3"/>
            <w:shd w:val="clear" w:color="auto" w:fill="FFFFFF"/>
            <w:tcMar>
              <w:top w:w="15" w:type="dxa"/>
              <w:left w:w="0" w:type="dxa"/>
              <w:bottom w:w="15" w:type="dxa"/>
              <w:right w:w="30" w:type="dxa"/>
            </w:tcMar>
            <w:vAlign w:val="center"/>
            <w:hideMark/>
          </w:tcPr>
          <w:p w:rsidR="00105805" w:rsidRPr="00105805" w:rsidRDefault="00105805" w:rsidP="00105805">
            <w:pPr>
              <w:spacing w:after="0" w:line="240" w:lineRule="auto"/>
              <w:rPr>
                <w:rFonts w:ascii="Times New Roman" w:eastAsia="Times New Roman" w:hAnsi="Times New Roman" w:cs="Times New Roman"/>
                <w:i/>
                <w:iCs/>
                <w:color w:val="333333"/>
                <w:sz w:val="20"/>
                <w:szCs w:val="20"/>
                <w:lang w:eastAsia="tr-TR"/>
              </w:rPr>
            </w:pPr>
            <w:proofErr w:type="spellStart"/>
            <w:proofErr w:type="gramStart"/>
            <w:r w:rsidRPr="00105805">
              <w:rPr>
                <w:rFonts w:ascii="Times New Roman" w:eastAsia="Times New Roman" w:hAnsi="Times New Roman" w:cs="Times New Roman"/>
                <w:i/>
                <w:iCs/>
                <w:color w:val="333333"/>
                <w:sz w:val="20"/>
                <w:szCs w:val="20"/>
                <w:lang w:eastAsia="tr-TR"/>
              </w:rPr>
              <w:t>Kaynak:Trademap</w:t>
            </w:r>
            <w:proofErr w:type="spellEnd"/>
            <w:proofErr w:type="gramEnd"/>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GTİP</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Ürünler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2013</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7113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Kıymetli metaller ve kaplamalarından mücevherci eşyası</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697 729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1 005 015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1 447 466</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7108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Altın (ham, yarı işlenmiş, pudra halinde)</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279 618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4 600 083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1 031 071</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7214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Demir/çelik çubuklar (sıcak </w:t>
            </w:r>
            <w:proofErr w:type="spellStart"/>
            <w:r w:rsidRPr="00105805">
              <w:rPr>
                <w:rFonts w:ascii="Verdana" w:eastAsia="Times New Roman" w:hAnsi="Verdana" w:cs="Arial"/>
                <w:color w:val="000000"/>
                <w:sz w:val="20"/>
                <w:szCs w:val="20"/>
                <w:lang w:eastAsia="tr-TR"/>
              </w:rPr>
              <w:t>haddeli</w:t>
            </w:r>
            <w:proofErr w:type="spellEnd"/>
            <w:r w:rsidRPr="00105805">
              <w:rPr>
                <w:rFonts w:ascii="Verdana" w:eastAsia="Times New Roman" w:hAnsi="Verdana" w:cs="Arial"/>
                <w:color w:val="000000"/>
                <w:sz w:val="20"/>
                <w:szCs w:val="20"/>
                <w:lang w:eastAsia="tr-TR"/>
              </w:rPr>
              <w:t>, dövülmüş, burulmuş, çekilmiş)</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774 079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606 832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599 201</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2710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Petrol yağları ve </w:t>
            </w:r>
            <w:proofErr w:type="spellStart"/>
            <w:r w:rsidRPr="00105805">
              <w:rPr>
                <w:rFonts w:ascii="Verdana" w:eastAsia="Times New Roman" w:hAnsi="Verdana" w:cs="Arial"/>
                <w:color w:val="000000"/>
                <w:sz w:val="20"/>
                <w:szCs w:val="20"/>
                <w:lang w:eastAsia="tr-TR"/>
              </w:rPr>
              <w:t>bitümenli</w:t>
            </w:r>
            <w:proofErr w:type="spellEnd"/>
            <w:r w:rsidRPr="00105805">
              <w:rPr>
                <w:rFonts w:ascii="Verdana" w:eastAsia="Times New Roman" w:hAnsi="Verdana" w:cs="Arial"/>
                <w:color w:val="000000"/>
                <w:sz w:val="20"/>
                <w:szCs w:val="20"/>
                <w:lang w:eastAsia="tr-TR"/>
              </w:rPr>
              <w:t xml:space="preserve"> minerallerden elde edilen yağlar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793 795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749 200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589 003</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5702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Dokunmuş halılar, yer kaplamaları (kilim, sumak, karaman </w:t>
            </w:r>
            <w:proofErr w:type="spellStart"/>
            <w:r w:rsidRPr="00105805">
              <w:rPr>
                <w:rFonts w:ascii="Verdana" w:eastAsia="Times New Roman" w:hAnsi="Verdana" w:cs="Arial"/>
                <w:color w:val="000000"/>
                <w:sz w:val="20"/>
                <w:szCs w:val="20"/>
                <w:lang w:eastAsia="tr-TR"/>
              </w:rPr>
              <w:t>vb</w:t>
            </w:r>
            <w:proofErr w:type="spellEnd"/>
            <w:r w:rsidRPr="00105805">
              <w:rPr>
                <w:rFonts w:ascii="Verdana" w:eastAsia="Times New Roman" w:hAnsi="Verdana" w:cs="Arial"/>
                <w:color w:val="000000"/>
                <w:sz w:val="20"/>
                <w:szCs w:val="20"/>
                <w:lang w:eastAsia="tr-TR"/>
              </w:rPr>
              <w:t>)</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35 006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54 419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57 353</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7216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Demir/</w:t>
            </w:r>
            <w:proofErr w:type="spellStart"/>
            <w:r w:rsidRPr="00105805">
              <w:rPr>
                <w:rFonts w:ascii="Verdana" w:eastAsia="Times New Roman" w:hAnsi="Verdana" w:cs="Arial"/>
                <w:color w:val="000000"/>
                <w:sz w:val="20"/>
                <w:szCs w:val="20"/>
                <w:lang w:eastAsia="tr-TR"/>
              </w:rPr>
              <w:t>alaşımsız</w:t>
            </w:r>
            <w:proofErr w:type="spellEnd"/>
            <w:r w:rsidRPr="00105805">
              <w:rPr>
                <w:rFonts w:ascii="Verdana" w:eastAsia="Times New Roman" w:hAnsi="Verdana" w:cs="Arial"/>
                <w:color w:val="000000"/>
                <w:sz w:val="20"/>
                <w:szCs w:val="20"/>
                <w:lang w:eastAsia="tr-TR"/>
              </w:rPr>
              <w:t xml:space="preserve"> çelikten </w:t>
            </w:r>
            <w:proofErr w:type="gramStart"/>
            <w:r w:rsidRPr="00105805">
              <w:rPr>
                <w:rFonts w:ascii="Verdana" w:eastAsia="Times New Roman" w:hAnsi="Verdana" w:cs="Arial"/>
                <w:color w:val="000000"/>
                <w:sz w:val="20"/>
                <w:szCs w:val="20"/>
                <w:lang w:eastAsia="tr-TR"/>
              </w:rPr>
              <w:t>profil</w:t>
            </w:r>
            <w:proofErr w:type="gramEnd"/>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41 861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52 738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52 226</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6802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Yontulmaya, inşaata elverişli işlenmiş taşlar (</w:t>
            </w:r>
            <w:proofErr w:type="spellStart"/>
            <w:r w:rsidRPr="00105805">
              <w:rPr>
                <w:rFonts w:ascii="Verdana" w:eastAsia="Times New Roman" w:hAnsi="Verdana" w:cs="Arial"/>
                <w:color w:val="000000"/>
                <w:sz w:val="20"/>
                <w:szCs w:val="20"/>
                <w:lang w:eastAsia="tr-TR"/>
              </w:rPr>
              <w:t>kayagan</w:t>
            </w:r>
            <w:proofErr w:type="spellEnd"/>
            <w:r w:rsidRPr="00105805">
              <w:rPr>
                <w:rFonts w:ascii="Verdana" w:eastAsia="Times New Roman" w:hAnsi="Verdana" w:cs="Arial"/>
                <w:color w:val="000000"/>
                <w:sz w:val="20"/>
                <w:szCs w:val="20"/>
                <w:lang w:eastAsia="tr-TR"/>
              </w:rPr>
              <w:t xml:space="preserve"> hariç)</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29 023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41 329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44 052</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2309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Hayvan gıdası olarak kullanılan müstahzarlar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68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504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31 239</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6204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Kadın/kız çocuk için takım, takım elbise, ceket vs.</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18 719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27 038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29 463</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8544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İzole edilmiş tel, kablo; diğer izole edilmiş elektrik iletkenleri; fiber optik k</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18 898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18 837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28 260</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9403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Diğer mobilyalar vb. Aksam, parçaları</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11 748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13 885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27 340</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2402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Tütün/tütün yerine geçen maddelerden purolar, </w:t>
            </w:r>
            <w:proofErr w:type="spellStart"/>
            <w:r w:rsidRPr="00105805">
              <w:rPr>
                <w:rFonts w:ascii="Verdana" w:eastAsia="Times New Roman" w:hAnsi="Verdana" w:cs="Arial"/>
                <w:color w:val="000000"/>
                <w:sz w:val="20"/>
                <w:szCs w:val="20"/>
                <w:lang w:eastAsia="tr-TR"/>
              </w:rPr>
              <w:t>sigarillolar</w:t>
            </w:r>
            <w:proofErr w:type="spellEnd"/>
            <w:r w:rsidRPr="00105805">
              <w:rPr>
                <w:rFonts w:ascii="Verdana" w:eastAsia="Times New Roman" w:hAnsi="Verdana" w:cs="Arial"/>
                <w:color w:val="000000"/>
                <w:sz w:val="20"/>
                <w:szCs w:val="20"/>
                <w:lang w:eastAsia="tr-TR"/>
              </w:rPr>
              <w:t xml:space="preserve"> ve sigaralar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12 714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26 900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23 816</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7106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Gümüş (ham/yarı işlenmiş, pudra halinde)</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51 369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22 842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23 354</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8708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Kara taşıtları için aksam, parçaları</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11 865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13 300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22 398</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lastRenderedPageBreak/>
              <w:t>1806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Çikolata ve kakao içeren diğer gıda müstahzarları</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17 988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18 925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19 910</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8431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Ağır iş makine ve cihazlarının aksamı, parçaları</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3 082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6 671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19 354</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6109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Tişört, fanila, diğer iç giyim eşyası (örme)</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11 512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17 273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17 546</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7308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Demir/çelikten inşaat ve aksamı</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16 761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18 329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17 109</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1101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Buğday unu/</w:t>
            </w:r>
            <w:proofErr w:type="gramStart"/>
            <w:r w:rsidRPr="00105805">
              <w:rPr>
                <w:rFonts w:ascii="Verdana" w:eastAsia="Times New Roman" w:hAnsi="Verdana" w:cs="Arial"/>
                <w:color w:val="000000"/>
                <w:sz w:val="20"/>
                <w:szCs w:val="20"/>
                <w:lang w:eastAsia="tr-TR"/>
              </w:rPr>
              <w:t>mahlut</w:t>
            </w:r>
            <w:proofErr w:type="gramEnd"/>
            <w:r w:rsidRPr="00105805">
              <w:rPr>
                <w:rFonts w:ascii="Verdana" w:eastAsia="Times New Roman" w:hAnsi="Verdana" w:cs="Arial"/>
                <w:color w:val="000000"/>
                <w:sz w:val="20"/>
                <w:szCs w:val="20"/>
                <w:lang w:eastAsia="tr-TR"/>
              </w:rPr>
              <w:t xml:space="preserve"> unu</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7 588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6 648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16 657</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7207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Demir/</w:t>
            </w:r>
            <w:proofErr w:type="spellStart"/>
            <w:r w:rsidRPr="00105805">
              <w:rPr>
                <w:rFonts w:ascii="Verdana" w:eastAsia="Times New Roman" w:hAnsi="Verdana" w:cs="Arial"/>
                <w:color w:val="000000"/>
                <w:sz w:val="20"/>
                <w:szCs w:val="20"/>
                <w:lang w:eastAsia="tr-TR"/>
              </w:rPr>
              <w:t>alaşımsız</w:t>
            </w:r>
            <w:proofErr w:type="spellEnd"/>
            <w:r w:rsidRPr="00105805">
              <w:rPr>
                <w:rFonts w:ascii="Verdana" w:eastAsia="Times New Roman" w:hAnsi="Verdana" w:cs="Arial"/>
                <w:color w:val="000000"/>
                <w:sz w:val="20"/>
                <w:szCs w:val="20"/>
                <w:lang w:eastAsia="tr-TR"/>
              </w:rPr>
              <w:t xml:space="preserve"> çelikten yarı mamuller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91 252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57 049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15 981</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1902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Makarnalar</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7 469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12 854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14 894</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8504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Elektrik transformatörleri, statik konvertisörler, </w:t>
            </w:r>
            <w:proofErr w:type="spellStart"/>
            <w:r w:rsidRPr="00105805">
              <w:rPr>
                <w:rFonts w:ascii="Verdana" w:eastAsia="Times New Roman" w:hAnsi="Verdana" w:cs="Arial"/>
                <w:color w:val="000000"/>
                <w:sz w:val="20"/>
                <w:szCs w:val="20"/>
                <w:lang w:eastAsia="tr-TR"/>
              </w:rPr>
              <w:t>endüktörler</w:t>
            </w:r>
            <w:proofErr w:type="spellEnd"/>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37 180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14 463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12 961</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6203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Erkek/erkek çocuk için takım, takım elbise, ceket vs.</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10 413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11 808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12 739</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8507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Elektrik akümülatörleri, </w:t>
            </w:r>
            <w:proofErr w:type="spellStart"/>
            <w:r w:rsidRPr="00105805">
              <w:rPr>
                <w:rFonts w:ascii="Verdana" w:eastAsia="Times New Roman" w:hAnsi="Verdana" w:cs="Arial"/>
                <w:color w:val="000000"/>
                <w:sz w:val="20"/>
                <w:szCs w:val="20"/>
                <w:lang w:eastAsia="tr-TR"/>
              </w:rPr>
              <w:t>separatörleri</w:t>
            </w:r>
            <w:proofErr w:type="spellEnd"/>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6 685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11 891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12 229</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3307</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proofErr w:type="spellStart"/>
            <w:r w:rsidRPr="00105805">
              <w:rPr>
                <w:rFonts w:ascii="Verdana" w:eastAsia="Times New Roman" w:hAnsi="Verdana" w:cs="Arial"/>
                <w:color w:val="000000"/>
                <w:sz w:val="20"/>
                <w:szCs w:val="20"/>
                <w:lang w:eastAsia="tr-TR"/>
              </w:rPr>
              <w:t>Traş</w:t>
            </w:r>
            <w:proofErr w:type="spellEnd"/>
            <w:r w:rsidRPr="00105805">
              <w:rPr>
                <w:rFonts w:ascii="Verdana" w:eastAsia="Times New Roman" w:hAnsi="Verdana" w:cs="Arial"/>
                <w:color w:val="000000"/>
                <w:sz w:val="20"/>
                <w:szCs w:val="20"/>
                <w:lang w:eastAsia="tr-TR"/>
              </w:rPr>
              <w:t xml:space="preserve"> müstahzarları, vücut deodorantları, tuvalet müstahzarları</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9 395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9 359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12 126</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6206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Kadın/kız çocuk için gömlek, bluz, vs.</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6 542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9 564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11 849</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8418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Buzdolapları, dondurucular, soğutucular, ısı pompaları</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12 995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10 175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11 404</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9401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Oturmaya mahsus mobilyalar, aksam-parçaları</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5 608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5 965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11 319</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0805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proofErr w:type="spellStart"/>
            <w:r w:rsidRPr="00105805">
              <w:rPr>
                <w:rFonts w:ascii="Verdana" w:eastAsia="Times New Roman" w:hAnsi="Verdana" w:cs="Arial"/>
                <w:color w:val="000000"/>
                <w:sz w:val="20"/>
                <w:szCs w:val="20"/>
                <w:lang w:eastAsia="tr-TR"/>
              </w:rPr>
              <w:t>Turunçgil</w:t>
            </w:r>
            <w:proofErr w:type="spellEnd"/>
            <w:r w:rsidRPr="00105805">
              <w:rPr>
                <w:rFonts w:ascii="Verdana" w:eastAsia="Times New Roman" w:hAnsi="Verdana" w:cs="Arial"/>
                <w:color w:val="000000"/>
                <w:sz w:val="20"/>
                <w:szCs w:val="20"/>
                <w:lang w:eastAsia="tr-TR"/>
              </w:rPr>
              <w:t xml:space="preserve">, taze </w:t>
            </w:r>
            <w:proofErr w:type="gramStart"/>
            <w:r w:rsidRPr="00105805">
              <w:rPr>
                <w:rFonts w:ascii="Verdana" w:eastAsia="Times New Roman" w:hAnsi="Verdana" w:cs="Arial"/>
                <w:color w:val="000000"/>
                <w:sz w:val="20"/>
                <w:szCs w:val="20"/>
                <w:lang w:eastAsia="tr-TR"/>
              </w:rPr>
              <w:t>yada</w:t>
            </w:r>
            <w:proofErr w:type="gramEnd"/>
            <w:r w:rsidRPr="00105805">
              <w:rPr>
                <w:rFonts w:ascii="Verdana" w:eastAsia="Times New Roman" w:hAnsi="Verdana" w:cs="Arial"/>
                <w:color w:val="000000"/>
                <w:sz w:val="20"/>
                <w:szCs w:val="20"/>
                <w:lang w:eastAsia="tr-TR"/>
              </w:rPr>
              <w:t xml:space="preserve"> kurutulmuş</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1 944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4 594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10 470</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6104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Kadın/kız çocuk için takım elbise, takım, ceket, pantolon vs. (örme)</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6 339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9 734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9 957</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1704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Kakao içermeyen şeker mamulleri (beyaz çikolata </w:t>
            </w:r>
            <w:proofErr w:type="gramStart"/>
            <w:r w:rsidRPr="00105805">
              <w:rPr>
                <w:rFonts w:ascii="Verdana" w:eastAsia="Times New Roman" w:hAnsi="Verdana" w:cs="Arial"/>
                <w:color w:val="000000"/>
                <w:sz w:val="20"/>
                <w:szCs w:val="20"/>
                <w:lang w:eastAsia="tr-TR"/>
              </w:rPr>
              <w:t>dahil</w:t>
            </w:r>
            <w:proofErr w:type="gramEnd"/>
            <w:r w:rsidRPr="00105805">
              <w:rPr>
                <w:rFonts w:ascii="Verdana" w:eastAsia="Times New Roman" w:hAnsi="Verdana" w:cs="Arial"/>
                <w:color w:val="000000"/>
                <w:sz w:val="20"/>
                <w:szCs w:val="20"/>
                <w:lang w:eastAsia="tr-TR"/>
              </w:rPr>
              <w:t>)</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7 387</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8 580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9 847</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6115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Çorap; külotlu, kısa; uzun konçlu, soketler (örme)</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5 604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9 140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9 460</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8802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Diğer hava taşıtları, uzay araçları</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4 000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28 950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8 704</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3923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Eşya taşıma ambalajı için plastik mamulleri, tıpa, kapak, kapsül</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5 236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6 122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8 691</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0406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Peynir ve Lor</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6 767</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7 735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8 523</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8703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Otomobil, steyşın vagonlar, yarış arabaları</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2 695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4 287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8 235</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3302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Sanayide hammadde olarak kullanılan koku veren maddelerin karışımları</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3 864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6 398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8 118</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8537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Elektrik kontrol, dağıtım tabloları, mücehhez tablolar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6 167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10 250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8 112</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4011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Kauçuktan yeni dış lastikler</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14 215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14 004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8 077</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7013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Masa, mutfak, tuvalet, ev tezyinatı </w:t>
            </w:r>
            <w:proofErr w:type="spellStart"/>
            <w:r w:rsidRPr="00105805">
              <w:rPr>
                <w:rFonts w:ascii="Verdana" w:eastAsia="Times New Roman" w:hAnsi="Verdana" w:cs="Arial"/>
                <w:color w:val="000000"/>
                <w:sz w:val="20"/>
                <w:szCs w:val="20"/>
                <w:lang w:eastAsia="tr-TR"/>
              </w:rPr>
              <w:t>vb</w:t>
            </w:r>
            <w:proofErr w:type="spellEnd"/>
            <w:r w:rsidRPr="00105805">
              <w:rPr>
                <w:rFonts w:ascii="Verdana" w:eastAsia="Times New Roman" w:hAnsi="Verdana" w:cs="Arial"/>
                <w:color w:val="000000"/>
                <w:sz w:val="20"/>
                <w:szCs w:val="20"/>
                <w:lang w:eastAsia="tr-TR"/>
              </w:rPr>
              <w:t xml:space="preserve"> için cam eşya</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5 951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8 069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8 076</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TOPLAM</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w:t>
            </w:r>
          </w:p>
        </w:tc>
        <w:tc>
          <w:tcPr>
            <w:tcW w:w="0" w:type="auto"/>
            <w:shd w:val="clear" w:color="auto" w:fill="FFFFFF"/>
            <w:vAlign w:val="center"/>
            <w:hideMark/>
          </w:tcPr>
          <w:p w:rsidR="00105805" w:rsidRPr="00105805" w:rsidRDefault="00105805" w:rsidP="00105805">
            <w:pPr>
              <w:spacing w:after="0" w:line="240" w:lineRule="auto"/>
              <w:rPr>
                <w:rFonts w:ascii="Times New Roman" w:eastAsia="Times New Roman" w:hAnsi="Times New Roman" w:cs="Times New Roman"/>
                <w:sz w:val="20"/>
                <w:szCs w:val="20"/>
                <w:lang w:eastAsia="tr-TR"/>
              </w:rPr>
            </w:pPr>
          </w:p>
        </w:tc>
        <w:tc>
          <w:tcPr>
            <w:tcW w:w="0" w:type="auto"/>
            <w:shd w:val="clear" w:color="auto" w:fill="FFFFFF"/>
            <w:vAlign w:val="center"/>
            <w:hideMark/>
          </w:tcPr>
          <w:p w:rsidR="00105805" w:rsidRPr="00105805" w:rsidRDefault="00105805" w:rsidP="00105805">
            <w:pPr>
              <w:spacing w:after="0" w:line="240" w:lineRule="auto"/>
              <w:rPr>
                <w:rFonts w:ascii="Times New Roman" w:eastAsia="Times New Roman" w:hAnsi="Times New Roman" w:cs="Times New Roman"/>
                <w:sz w:val="20"/>
                <w:szCs w:val="20"/>
                <w:lang w:eastAsia="tr-TR"/>
              </w:rPr>
            </w:pPr>
          </w:p>
        </w:tc>
      </w:tr>
    </w:tbl>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105805">
        <w:rPr>
          <w:rFonts w:ascii="Tahoma" w:eastAsia="Times New Roman" w:hAnsi="Tahoma" w:cs="Tahoma"/>
          <w:color w:val="111111"/>
          <w:sz w:val="20"/>
          <w:szCs w:val="20"/>
          <w:lang w:eastAsia="tr-TR"/>
        </w:rPr>
        <w:t>Türkiye’nin 2013 yılında, BAE'den gerçekleştirdiği ithalatın, % 86,7’sini ham ve yarı işlenmiş altın, % 6,2’sini kıymetli metallerden mücevherci eşyası oluşturmaktadır. İşlenmemiş alüminyum, ham ve yarı işlenmiş gümüş, petrol yağları, kimyasal maddeler ise ithal edilen diğer başlıca ürünlerdir.  </w:t>
      </w:r>
    </w:p>
    <w:tbl>
      <w:tblPr>
        <w:tblW w:w="4950" w:type="pct"/>
        <w:tblCellSpacing w:w="7" w:type="dxa"/>
        <w:tblInd w:w="14" w:type="dxa"/>
        <w:shd w:val="clear" w:color="auto" w:fill="FFFFFF"/>
        <w:tblCellMar>
          <w:top w:w="15" w:type="dxa"/>
          <w:left w:w="15" w:type="dxa"/>
          <w:bottom w:w="15" w:type="dxa"/>
          <w:right w:w="15" w:type="dxa"/>
        </w:tblCellMar>
        <w:tblLook w:val="04A0" w:firstRow="1" w:lastRow="0" w:firstColumn="1" w:lastColumn="0" w:noHBand="0" w:noVBand="1"/>
      </w:tblPr>
      <w:tblGrid>
        <w:gridCol w:w="560"/>
        <w:gridCol w:w="5724"/>
        <w:gridCol w:w="916"/>
        <w:gridCol w:w="916"/>
        <w:gridCol w:w="923"/>
      </w:tblGrid>
      <w:tr w:rsidR="00105805" w:rsidRPr="00105805" w:rsidTr="00105805">
        <w:trPr>
          <w:gridAfter w:val="1"/>
          <w:trHeight w:val="270"/>
          <w:tblCellSpacing w:w="7" w:type="dxa"/>
        </w:trPr>
        <w:tc>
          <w:tcPr>
            <w:tcW w:w="0" w:type="auto"/>
            <w:gridSpan w:val="4"/>
            <w:tcBorders>
              <w:top w:val="nil"/>
              <w:left w:val="nil"/>
              <w:bottom w:val="nil"/>
              <w:right w:val="nil"/>
            </w:tcBorders>
            <w:shd w:val="clear" w:color="auto" w:fill="FFFFFF"/>
            <w:tcMar>
              <w:top w:w="15" w:type="dxa"/>
              <w:left w:w="0" w:type="dxa"/>
              <w:bottom w:w="15" w:type="dxa"/>
              <w:right w:w="30" w:type="dxa"/>
            </w:tcMar>
            <w:vAlign w:val="center"/>
            <w:hideMark/>
          </w:tcPr>
          <w:p w:rsidR="00105805" w:rsidRPr="00105805" w:rsidRDefault="00105805" w:rsidP="00105805">
            <w:pPr>
              <w:spacing w:after="30" w:line="240" w:lineRule="auto"/>
              <w:rPr>
                <w:rFonts w:ascii="Times New Roman" w:eastAsia="Times New Roman" w:hAnsi="Times New Roman" w:cs="Times New Roman"/>
                <w:b/>
                <w:bCs/>
                <w:i/>
                <w:iCs/>
                <w:color w:val="003366"/>
                <w:sz w:val="20"/>
                <w:szCs w:val="20"/>
                <w:lang w:eastAsia="tr-TR"/>
              </w:rPr>
            </w:pPr>
            <w:r w:rsidRPr="00105805">
              <w:rPr>
                <w:rFonts w:ascii="Times New Roman" w:eastAsia="Times New Roman" w:hAnsi="Times New Roman" w:cs="Times New Roman"/>
                <w:b/>
                <w:bCs/>
                <w:i/>
                <w:iCs/>
                <w:color w:val="003366"/>
                <w:sz w:val="20"/>
                <w:szCs w:val="20"/>
                <w:lang w:eastAsia="tr-TR"/>
              </w:rPr>
              <w:t>Türkiye'nin BAE'den İthalatında Başlıca Ürünler (Milyon Dolar)</w:t>
            </w:r>
          </w:p>
        </w:tc>
      </w:tr>
      <w:tr w:rsidR="00105805" w:rsidRPr="00105805" w:rsidTr="00105805">
        <w:trPr>
          <w:gridAfter w:val="1"/>
          <w:trHeight w:val="270"/>
          <w:tblCellSpacing w:w="7" w:type="dxa"/>
        </w:trPr>
        <w:tc>
          <w:tcPr>
            <w:tcW w:w="0" w:type="auto"/>
            <w:gridSpan w:val="4"/>
            <w:shd w:val="clear" w:color="auto" w:fill="FFFFFF"/>
            <w:tcMar>
              <w:top w:w="15" w:type="dxa"/>
              <w:left w:w="0" w:type="dxa"/>
              <w:bottom w:w="15" w:type="dxa"/>
              <w:right w:w="30" w:type="dxa"/>
            </w:tcMar>
            <w:vAlign w:val="center"/>
            <w:hideMark/>
          </w:tcPr>
          <w:p w:rsidR="00105805" w:rsidRPr="00105805" w:rsidRDefault="00105805" w:rsidP="00105805">
            <w:pPr>
              <w:spacing w:after="0" w:line="240" w:lineRule="auto"/>
              <w:rPr>
                <w:rFonts w:ascii="Times New Roman" w:eastAsia="Times New Roman" w:hAnsi="Times New Roman" w:cs="Times New Roman"/>
                <w:i/>
                <w:iCs/>
                <w:color w:val="333333"/>
                <w:sz w:val="20"/>
                <w:szCs w:val="20"/>
                <w:lang w:eastAsia="tr-TR"/>
              </w:rPr>
            </w:pPr>
            <w:proofErr w:type="spellStart"/>
            <w:proofErr w:type="gramStart"/>
            <w:r w:rsidRPr="00105805">
              <w:rPr>
                <w:rFonts w:ascii="Times New Roman" w:eastAsia="Times New Roman" w:hAnsi="Times New Roman" w:cs="Times New Roman"/>
                <w:i/>
                <w:iCs/>
                <w:color w:val="333333"/>
                <w:sz w:val="20"/>
                <w:szCs w:val="20"/>
                <w:lang w:eastAsia="tr-TR"/>
              </w:rPr>
              <w:t>Kaynak:Trademap</w:t>
            </w:r>
            <w:proofErr w:type="spellEnd"/>
            <w:proofErr w:type="gramEnd"/>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GTİP</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Ürün Adı</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2013</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7108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Altın (ham, yarı işlenmiş, pudra halinde)</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1 162 681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3 107 420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4 669 255</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7113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Kıymetli metaller ve kaplamalarından mücevherci eşyası</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70 491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126 495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334 919</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7601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İşlenmemiş alüminyum</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101 466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96 616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111 576</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2710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Petrol yağları ve </w:t>
            </w:r>
            <w:proofErr w:type="spellStart"/>
            <w:r w:rsidRPr="00105805">
              <w:rPr>
                <w:rFonts w:ascii="Verdana" w:eastAsia="Times New Roman" w:hAnsi="Verdana" w:cs="Arial"/>
                <w:color w:val="000000"/>
                <w:sz w:val="20"/>
                <w:szCs w:val="20"/>
                <w:lang w:eastAsia="tr-TR"/>
              </w:rPr>
              <w:t>bitümenli</w:t>
            </w:r>
            <w:proofErr w:type="spellEnd"/>
            <w:r w:rsidRPr="00105805">
              <w:rPr>
                <w:rFonts w:ascii="Verdana" w:eastAsia="Times New Roman" w:hAnsi="Verdana" w:cs="Arial"/>
                <w:color w:val="000000"/>
                <w:sz w:val="20"/>
                <w:szCs w:val="20"/>
                <w:lang w:eastAsia="tr-TR"/>
              </w:rPr>
              <w:t xml:space="preserve"> minerallerden elde edilen yağlar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1 703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6 715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33 783</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lastRenderedPageBreak/>
              <w:t>3902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proofErr w:type="spellStart"/>
            <w:r w:rsidRPr="00105805">
              <w:rPr>
                <w:rFonts w:ascii="Verdana" w:eastAsia="Times New Roman" w:hAnsi="Verdana" w:cs="Arial"/>
                <w:color w:val="000000"/>
                <w:sz w:val="20"/>
                <w:szCs w:val="20"/>
                <w:lang w:eastAsia="tr-TR"/>
              </w:rPr>
              <w:t>Propilen</w:t>
            </w:r>
            <w:proofErr w:type="spellEnd"/>
            <w:r w:rsidRPr="00105805">
              <w:rPr>
                <w:rFonts w:ascii="Verdana" w:eastAsia="Times New Roman" w:hAnsi="Verdana" w:cs="Arial"/>
                <w:color w:val="000000"/>
                <w:sz w:val="20"/>
                <w:szCs w:val="20"/>
                <w:lang w:eastAsia="tr-TR"/>
              </w:rPr>
              <w:t xml:space="preserve"> ve diğer olefinlerin polimerleri (ilk şekillerde)</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7 850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30 687</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30 803</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3901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Etilen polimerleri (ilk şekillerde)</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3 640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14 734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28 753</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7106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Gümüş (ham/yarı işlenmiş, pudra halinde)</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77 842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87 728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23 089</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3907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proofErr w:type="spellStart"/>
            <w:r w:rsidRPr="00105805">
              <w:rPr>
                <w:rFonts w:ascii="Verdana" w:eastAsia="Times New Roman" w:hAnsi="Verdana" w:cs="Arial"/>
                <w:color w:val="000000"/>
                <w:sz w:val="20"/>
                <w:szCs w:val="20"/>
                <w:lang w:eastAsia="tr-TR"/>
              </w:rPr>
              <w:t>Poliasetaller</w:t>
            </w:r>
            <w:proofErr w:type="spellEnd"/>
            <w:r w:rsidRPr="00105805">
              <w:rPr>
                <w:rFonts w:ascii="Verdana" w:eastAsia="Times New Roman" w:hAnsi="Verdana" w:cs="Arial"/>
                <w:color w:val="000000"/>
                <w:sz w:val="20"/>
                <w:szCs w:val="20"/>
                <w:lang w:eastAsia="tr-TR"/>
              </w:rPr>
              <w:t xml:space="preserve">, diğer </w:t>
            </w:r>
            <w:proofErr w:type="spellStart"/>
            <w:r w:rsidRPr="00105805">
              <w:rPr>
                <w:rFonts w:ascii="Verdana" w:eastAsia="Times New Roman" w:hAnsi="Verdana" w:cs="Arial"/>
                <w:color w:val="000000"/>
                <w:sz w:val="20"/>
                <w:szCs w:val="20"/>
                <w:lang w:eastAsia="tr-TR"/>
              </w:rPr>
              <w:t>polieterler</w:t>
            </w:r>
            <w:proofErr w:type="spellEnd"/>
            <w:r w:rsidRPr="00105805">
              <w:rPr>
                <w:rFonts w:ascii="Verdana" w:eastAsia="Times New Roman" w:hAnsi="Verdana" w:cs="Arial"/>
                <w:color w:val="000000"/>
                <w:sz w:val="20"/>
                <w:szCs w:val="20"/>
                <w:lang w:eastAsia="tr-TR"/>
              </w:rPr>
              <w:t xml:space="preserve">, </w:t>
            </w:r>
            <w:proofErr w:type="spellStart"/>
            <w:r w:rsidRPr="00105805">
              <w:rPr>
                <w:rFonts w:ascii="Verdana" w:eastAsia="Times New Roman" w:hAnsi="Verdana" w:cs="Arial"/>
                <w:color w:val="000000"/>
                <w:sz w:val="20"/>
                <w:szCs w:val="20"/>
                <w:lang w:eastAsia="tr-TR"/>
              </w:rPr>
              <w:t>epoksit-alkid</w:t>
            </w:r>
            <w:proofErr w:type="spellEnd"/>
            <w:r w:rsidRPr="00105805">
              <w:rPr>
                <w:rFonts w:ascii="Verdana" w:eastAsia="Times New Roman" w:hAnsi="Verdana" w:cs="Arial"/>
                <w:color w:val="000000"/>
                <w:sz w:val="20"/>
                <w:szCs w:val="20"/>
                <w:lang w:eastAsia="tr-TR"/>
              </w:rPr>
              <w:t xml:space="preserve"> reçineler </w:t>
            </w:r>
            <w:proofErr w:type="spellStart"/>
            <w:r w:rsidRPr="00105805">
              <w:rPr>
                <w:rFonts w:ascii="Verdana" w:eastAsia="Times New Roman" w:hAnsi="Verdana" w:cs="Arial"/>
                <w:color w:val="000000"/>
                <w:sz w:val="20"/>
                <w:szCs w:val="20"/>
                <w:lang w:eastAsia="tr-TR"/>
              </w:rPr>
              <w:t>vb</w:t>
            </w:r>
            <w:proofErr w:type="spellEnd"/>
            <w:r w:rsidRPr="00105805">
              <w:rPr>
                <w:rFonts w:ascii="Verdana" w:eastAsia="Times New Roman" w:hAnsi="Verdana" w:cs="Arial"/>
                <w:color w:val="000000"/>
                <w:sz w:val="20"/>
                <w:szCs w:val="20"/>
                <w:lang w:eastAsia="tr-TR"/>
              </w:rPr>
              <w:t xml:space="preserve"> (ilk şekilde)</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36 772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11 023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16 537</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7204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Demir/çelik döküntü ve hurdaları, bunların külçeleri</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1 039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43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13 609</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2901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proofErr w:type="spellStart"/>
            <w:r w:rsidRPr="00105805">
              <w:rPr>
                <w:rFonts w:ascii="Verdana" w:eastAsia="Times New Roman" w:hAnsi="Verdana" w:cs="Arial"/>
                <w:color w:val="000000"/>
                <w:sz w:val="20"/>
                <w:szCs w:val="20"/>
                <w:lang w:eastAsia="tr-TR"/>
              </w:rPr>
              <w:t>Asiklik</w:t>
            </w:r>
            <w:proofErr w:type="spellEnd"/>
            <w:r w:rsidRPr="00105805">
              <w:rPr>
                <w:rFonts w:ascii="Verdana" w:eastAsia="Times New Roman" w:hAnsi="Verdana" w:cs="Arial"/>
                <w:color w:val="000000"/>
                <w:sz w:val="20"/>
                <w:szCs w:val="20"/>
                <w:lang w:eastAsia="tr-TR"/>
              </w:rPr>
              <w:t xml:space="preserve"> hidrokarbonlar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26 716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13 373</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3920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Plastikten diğer levha, yaprak, pelikül ve lamlar</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12 115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13 640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10 779</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5404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Sentetik </w:t>
            </w:r>
            <w:proofErr w:type="spellStart"/>
            <w:r w:rsidRPr="00105805">
              <w:rPr>
                <w:rFonts w:ascii="Verdana" w:eastAsia="Times New Roman" w:hAnsi="Verdana" w:cs="Arial"/>
                <w:color w:val="000000"/>
                <w:sz w:val="20"/>
                <w:szCs w:val="20"/>
                <w:lang w:eastAsia="tr-TR"/>
              </w:rPr>
              <w:t>monofilamentler</w:t>
            </w:r>
            <w:proofErr w:type="spellEnd"/>
            <w:r w:rsidRPr="00105805">
              <w:rPr>
                <w:rFonts w:ascii="Verdana" w:eastAsia="Times New Roman" w:hAnsi="Verdana" w:cs="Arial"/>
                <w:color w:val="000000"/>
                <w:sz w:val="20"/>
                <w:szCs w:val="20"/>
                <w:lang w:eastAsia="tr-TR"/>
              </w:rPr>
              <w:t xml:space="preserve"> (67 </w:t>
            </w:r>
            <w:proofErr w:type="spellStart"/>
            <w:r w:rsidRPr="00105805">
              <w:rPr>
                <w:rFonts w:ascii="Verdana" w:eastAsia="Times New Roman" w:hAnsi="Verdana" w:cs="Arial"/>
                <w:color w:val="000000"/>
                <w:sz w:val="20"/>
                <w:szCs w:val="20"/>
                <w:lang w:eastAsia="tr-TR"/>
              </w:rPr>
              <w:t>desiteks</w:t>
            </w:r>
            <w:proofErr w:type="spellEnd"/>
            <w:r w:rsidRPr="00105805">
              <w:rPr>
                <w:rFonts w:ascii="Verdana" w:eastAsia="Times New Roman" w:hAnsi="Verdana" w:cs="Arial"/>
                <w:color w:val="000000"/>
                <w:sz w:val="20"/>
                <w:szCs w:val="20"/>
                <w:lang w:eastAsia="tr-TR"/>
              </w:rPr>
              <w:t>/daha fazla)</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4 007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6 807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8 818</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8419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Isı değişikliği yöntemi ile maddeleri işlemek için cihazlar</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148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248</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6 359</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7602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Alüminyum döküntü ve hurdaları</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2 067</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2 352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6 232</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7115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Kıymetli metallerden/kaplamalarından diğer eşya</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5 564</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7102</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Elmaslar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5 294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4 499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4 747</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7606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Alüminyum sac, levha ve şeritler, kalınlık&gt;0, 2mm</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112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2 926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4 623</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2909</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Eterler, eter-alkoller, eter fenoller, fenoller, peroksitler vb. Türevleri</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32 080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1 654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3 670</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9701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Tamamen elle yapılmış tablo/resim ve </w:t>
            </w:r>
            <w:proofErr w:type="gramStart"/>
            <w:r w:rsidRPr="00105805">
              <w:rPr>
                <w:rFonts w:ascii="Verdana" w:eastAsia="Times New Roman" w:hAnsi="Verdana" w:cs="Arial"/>
                <w:color w:val="000000"/>
                <w:sz w:val="20"/>
                <w:szCs w:val="20"/>
                <w:lang w:eastAsia="tr-TR"/>
              </w:rPr>
              <w:t>kolajlar</w:t>
            </w:r>
            <w:proofErr w:type="gramEnd"/>
            <w:r w:rsidRPr="00105805">
              <w:rPr>
                <w:rFonts w:ascii="Verdana" w:eastAsia="Times New Roman" w:hAnsi="Verdana" w:cs="Arial"/>
                <w:color w:val="000000"/>
                <w:sz w:val="20"/>
                <w:szCs w:val="20"/>
                <w:lang w:eastAsia="tr-TR"/>
              </w:rPr>
              <w:t>, vb. Dekoratif pano</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185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2 832</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8805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Hava taşıtlarını fırlatma, iniş vb. Cihaz ve tertibatı</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2 788</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8309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Adi metalden tıpa, kapak, kapsül, mühür kurşunları vb.</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464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1 566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2 636</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3206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Diğer boyayıcı maddeler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2 740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1 126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2 634</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4102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Koyun ve kuzuların ham derileri</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11 325</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7 249</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2 597</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7605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Alüminyum teller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1 685</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2 266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2 543</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3817</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Karışım halinde </w:t>
            </w:r>
            <w:proofErr w:type="spellStart"/>
            <w:r w:rsidRPr="00105805">
              <w:rPr>
                <w:rFonts w:ascii="Verdana" w:eastAsia="Times New Roman" w:hAnsi="Verdana" w:cs="Arial"/>
                <w:color w:val="000000"/>
                <w:sz w:val="20"/>
                <w:szCs w:val="20"/>
                <w:lang w:eastAsia="tr-TR"/>
              </w:rPr>
              <w:t>alkalibenzenler</w:t>
            </w:r>
            <w:proofErr w:type="spellEnd"/>
            <w:r w:rsidRPr="00105805">
              <w:rPr>
                <w:rFonts w:ascii="Verdana" w:eastAsia="Times New Roman" w:hAnsi="Verdana" w:cs="Arial"/>
                <w:color w:val="000000"/>
                <w:sz w:val="20"/>
                <w:szCs w:val="20"/>
                <w:lang w:eastAsia="tr-TR"/>
              </w:rPr>
              <w:t xml:space="preserve">, </w:t>
            </w:r>
            <w:proofErr w:type="spellStart"/>
            <w:r w:rsidRPr="00105805">
              <w:rPr>
                <w:rFonts w:ascii="Verdana" w:eastAsia="Times New Roman" w:hAnsi="Verdana" w:cs="Arial"/>
                <w:color w:val="000000"/>
                <w:sz w:val="20"/>
                <w:szCs w:val="20"/>
                <w:lang w:eastAsia="tr-TR"/>
              </w:rPr>
              <w:t>alkalinaftalenler</w:t>
            </w:r>
            <w:proofErr w:type="spellEnd"/>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2 475</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8424</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Sıvı, tozları püskürtmeye, dağıtmaya mahsus mekanik cihazlar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288</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106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2 368</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3926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Plastikten diğer eşya</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186</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1 723</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2 259</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7013</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 xml:space="preserve">Masa, mutfak, tuvalet, ev tezyinatı </w:t>
            </w:r>
            <w:proofErr w:type="spellStart"/>
            <w:r w:rsidRPr="00105805">
              <w:rPr>
                <w:rFonts w:ascii="Verdana" w:eastAsia="Times New Roman" w:hAnsi="Verdana" w:cs="Arial"/>
                <w:color w:val="000000"/>
                <w:sz w:val="20"/>
                <w:szCs w:val="20"/>
                <w:lang w:eastAsia="tr-TR"/>
              </w:rPr>
              <w:t>vb</w:t>
            </w:r>
            <w:proofErr w:type="spellEnd"/>
            <w:r w:rsidRPr="00105805">
              <w:rPr>
                <w:rFonts w:ascii="Verdana" w:eastAsia="Times New Roman" w:hAnsi="Verdana" w:cs="Arial"/>
                <w:color w:val="000000"/>
                <w:sz w:val="20"/>
                <w:szCs w:val="20"/>
                <w:lang w:eastAsia="tr-TR"/>
              </w:rPr>
              <w:t xml:space="preserve"> için cam eşya</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900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716</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2 002</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7010</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Cam damacana, şişe, kavanoz, çanak, ilaç tüpleri, kaplar</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701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1 954</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4011</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Kauçuktan yeni dış lastikler</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1 260</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1 948</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6911</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Porselen ve çiniden sofra, mutfak ve tuvalet eşyası</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1 652</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1 444</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1 568</w:t>
            </w:r>
          </w:p>
        </w:tc>
      </w:tr>
    </w:tbl>
    <w:p w:rsidR="00105805" w:rsidRPr="00105805" w:rsidRDefault="00105805" w:rsidP="00105805">
      <w:pPr>
        <w:shd w:val="clear" w:color="auto" w:fill="FFFFFF"/>
        <w:spacing w:beforeAutospacing="1" w:after="0" w:afterAutospacing="1" w:line="240" w:lineRule="auto"/>
        <w:rPr>
          <w:rFonts w:ascii="Tahoma" w:eastAsia="Times New Roman" w:hAnsi="Tahoma" w:cs="Tahoma"/>
          <w:color w:val="000000"/>
          <w:sz w:val="20"/>
          <w:szCs w:val="20"/>
          <w:lang w:eastAsia="tr-TR"/>
        </w:rPr>
      </w:pPr>
      <w:r w:rsidRPr="00105805">
        <w:rPr>
          <w:rFonts w:ascii="Verdana" w:eastAsia="Times New Roman" w:hAnsi="Verdana" w:cs="Tahoma"/>
          <w:b/>
          <w:bCs/>
          <w:color w:val="000000"/>
          <w:sz w:val="20"/>
          <w:szCs w:val="20"/>
          <w:lang w:eastAsia="tr-TR"/>
        </w:rPr>
        <w:t>İki Ülke Arasındaki Anlaşma ve Protokoller</w:t>
      </w:r>
    </w:p>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105805">
        <w:rPr>
          <w:rFonts w:ascii="Tahoma" w:eastAsia="Times New Roman" w:hAnsi="Tahoma" w:cs="Tahoma"/>
          <w:color w:val="111111"/>
          <w:sz w:val="20"/>
          <w:szCs w:val="20"/>
          <w:lang w:eastAsia="tr-TR"/>
        </w:rPr>
        <w:t>Ülkemiz ile BAE arasında 1984 yılında Ekonomik ve Teknik İşbirliği Anlaşması, 1993 yılında Çifte Vergilendirmeyi Önleme Anlaşması yapılmış olup, KİK ülkeleri ile birlikte Serbest Ticaret Anlaşması yapılması yolunda çalışmalar devam etmektedir.</w:t>
      </w:r>
    </w:p>
    <w:tbl>
      <w:tblPr>
        <w:tblW w:w="4950" w:type="pct"/>
        <w:tblCellSpacing w:w="7" w:type="dxa"/>
        <w:tblInd w:w="14" w:type="dxa"/>
        <w:shd w:val="clear" w:color="auto" w:fill="FFFFFF"/>
        <w:tblCellMar>
          <w:top w:w="15" w:type="dxa"/>
          <w:left w:w="15" w:type="dxa"/>
          <w:bottom w:w="15" w:type="dxa"/>
          <w:right w:w="15" w:type="dxa"/>
        </w:tblCellMar>
        <w:tblLook w:val="04A0" w:firstRow="1" w:lastRow="0" w:firstColumn="1" w:lastColumn="0" w:noHBand="0" w:noVBand="1"/>
      </w:tblPr>
      <w:tblGrid>
        <w:gridCol w:w="6571"/>
        <w:gridCol w:w="2468"/>
      </w:tblGrid>
      <w:tr w:rsidR="00105805" w:rsidRPr="00105805" w:rsidTr="00105805">
        <w:trPr>
          <w:trHeight w:val="270"/>
          <w:tblCellSpacing w:w="7" w:type="dxa"/>
        </w:trPr>
        <w:tc>
          <w:tcPr>
            <w:tcW w:w="0" w:type="auto"/>
            <w:gridSpan w:val="2"/>
            <w:tcBorders>
              <w:top w:val="nil"/>
              <w:left w:val="nil"/>
              <w:bottom w:val="nil"/>
              <w:right w:val="nil"/>
            </w:tcBorders>
            <w:shd w:val="clear" w:color="auto" w:fill="CEE7FF"/>
            <w:tcMar>
              <w:top w:w="15" w:type="dxa"/>
              <w:left w:w="0" w:type="dxa"/>
              <w:bottom w:w="15" w:type="dxa"/>
              <w:right w:w="30" w:type="dxa"/>
            </w:tcMar>
            <w:vAlign w:val="center"/>
            <w:hideMark/>
          </w:tcPr>
          <w:p w:rsidR="00105805" w:rsidRPr="00105805" w:rsidRDefault="00105805" w:rsidP="00105805">
            <w:pPr>
              <w:spacing w:after="30" w:line="240" w:lineRule="auto"/>
              <w:rPr>
                <w:rFonts w:ascii="Times New Roman" w:eastAsia="Times New Roman" w:hAnsi="Times New Roman" w:cs="Times New Roman"/>
                <w:b/>
                <w:bCs/>
                <w:i/>
                <w:iCs/>
                <w:color w:val="003366"/>
                <w:sz w:val="20"/>
                <w:szCs w:val="20"/>
                <w:lang w:eastAsia="tr-TR"/>
              </w:rPr>
            </w:pPr>
            <w:r w:rsidRPr="00105805">
              <w:rPr>
                <w:rFonts w:ascii="Times New Roman" w:eastAsia="Times New Roman" w:hAnsi="Times New Roman" w:cs="Times New Roman"/>
                <w:b/>
                <w:bCs/>
                <w:i/>
                <w:iCs/>
                <w:color w:val="003366"/>
                <w:sz w:val="20"/>
                <w:szCs w:val="20"/>
                <w:lang w:eastAsia="tr-TR"/>
              </w:rPr>
              <w:t>İki Ülke Arasındaki Ticaretin Altyapısını Düzenleyen Anlaşma ve Protokoller</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Anlaşma Adı</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İmza/Onay Tarihi</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VIII. Dönem KEK Toplantısı Mutabakat Zaptı</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10.02.2011</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VII. Dönem KEK Toplantısı Mutabakat Zaptı</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15.02.2008</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YKTK</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28.09.2005/24.07.2011</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Küresel Taahhüt ve Hizmet Kuruluşu (TRICON) ve KOSGEB Arasında Anlaşma</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31.10.2003</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Çifte Vergilendirmeyi Önleme Anlaşması</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29.01.1993/27.12.1994</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lastRenderedPageBreak/>
              <w:t>Türkiye – Birleşik Arap Emirlikleri Hava Ulaştırma Anlaşması</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26.10.1986</w:t>
            </w:r>
          </w:p>
        </w:tc>
      </w:tr>
      <w:tr w:rsidR="00105805" w:rsidRPr="00105805" w:rsidTr="00105805">
        <w:trPr>
          <w:trHeight w:val="270"/>
          <w:tblCellSpacing w:w="7" w:type="dxa"/>
        </w:trPr>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Ekonomik ve Teknik İşbirliği Anlaşması</w:t>
            </w:r>
          </w:p>
        </w:tc>
        <w:tc>
          <w:tcPr>
            <w:tcW w:w="0" w:type="auto"/>
            <w:shd w:val="clear" w:color="auto" w:fill="F0F8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09.08.1984</w:t>
            </w:r>
          </w:p>
        </w:tc>
      </w:tr>
      <w:tr w:rsidR="00105805" w:rsidRPr="00105805" w:rsidTr="00105805">
        <w:trPr>
          <w:trHeight w:val="270"/>
          <w:tblCellSpacing w:w="7" w:type="dxa"/>
        </w:trPr>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BDDK ile BAE Merkez Bankası Arasında Teknik İşbirliğine Dair Mutabakat Zaptı</w:t>
            </w:r>
          </w:p>
        </w:tc>
        <w:tc>
          <w:tcPr>
            <w:tcW w:w="0" w:type="auto"/>
            <w:shd w:val="clear" w:color="auto" w:fill="CEE7FF"/>
            <w:tcMar>
              <w:top w:w="15" w:type="dxa"/>
              <w:left w:w="0" w:type="dxa"/>
              <w:bottom w:w="15" w:type="dxa"/>
              <w:right w:w="30" w:type="dxa"/>
            </w:tcMar>
            <w:vAlign w:val="center"/>
            <w:hideMark/>
          </w:tcPr>
          <w:p w:rsidR="00105805" w:rsidRPr="00105805" w:rsidRDefault="00105805" w:rsidP="00105805">
            <w:pPr>
              <w:spacing w:after="0" w:line="240" w:lineRule="auto"/>
              <w:rPr>
                <w:rFonts w:ascii="Verdana" w:eastAsia="Times New Roman" w:hAnsi="Verdana" w:cs="Arial"/>
                <w:color w:val="000000"/>
                <w:sz w:val="20"/>
                <w:szCs w:val="20"/>
                <w:lang w:eastAsia="tr-TR"/>
              </w:rPr>
            </w:pPr>
            <w:r w:rsidRPr="00105805">
              <w:rPr>
                <w:rFonts w:ascii="Verdana" w:eastAsia="Times New Roman" w:hAnsi="Verdana" w:cs="Arial"/>
                <w:color w:val="000000"/>
                <w:sz w:val="20"/>
                <w:szCs w:val="20"/>
                <w:lang w:eastAsia="tr-TR"/>
              </w:rPr>
              <w:t>17.02.2009</w:t>
            </w:r>
          </w:p>
        </w:tc>
      </w:tr>
    </w:tbl>
    <w:p w:rsidR="00105805" w:rsidRPr="00105805" w:rsidRDefault="00105805" w:rsidP="00105805">
      <w:pPr>
        <w:shd w:val="clear" w:color="auto" w:fill="FFFFFF"/>
        <w:spacing w:beforeAutospacing="1" w:after="0" w:afterAutospacing="1" w:line="240" w:lineRule="auto"/>
        <w:rPr>
          <w:rFonts w:ascii="Tahoma" w:eastAsia="Times New Roman" w:hAnsi="Tahoma" w:cs="Tahoma"/>
          <w:color w:val="000000"/>
          <w:sz w:val="20"/>
          <w:szCs w:val="20"/>
          <w:lang w:eastAsia="tr-TR"/>
        </w:rPr>
      </w:pPr>
      <w:r w:rsidRPr="00105805">
        <w:rPr>
          <w:rFonts w:ascii="Verdana" w:eastAsia="Times New Roman" w:hAnsi="Verdana" w:cs="Tahoma"/>
          <w:b/>
          <w:bCs/>
          <w:color w:val="000000"/>
          <w:sz w:val="20"/>
          <w:szCs w:val="20"/>
          <w:lang w:eastAsia="tr-TR"/>
        </w:rPr>
        <w:t>Türkiye-BİR. ARAP EMİRLİK. Yatırım İlişkileri</w:t>
      </w:r>
    </w:p>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hyperlink r:id="rId8" w:tgtFrame="_blank" w:history="1">
        <w:r w:rsidRPr="00105805">
          <w:rPr>
            <w:rFonts w:ascii="Tahoma" w:eastAsia="Times New Roman" w:hAnsi="Tahoma" w:cs="Tahoma"/>
            <w:color w:val="003366"/>
            <w:sz w:val="20"/>
            <w:szCs w:val="20"/>
            <w:lang w:eastAsia="tr-TR"/>
          </w:rPr>
          <w:t>Türk firmalarının Birleşik Arap Emirlikleri'nde gerçekleştirdiği yatırımlar için tıklayınız.</w:t>
        </w:r>
      </w:hyperlink>
    </w:p>
    <w:p w:rsidR="00105805" w:rsidRPr="00105805" w:rsidRDefault="00105805" w:rsidP="00105805">
      <w:pPr>
        <w:shd w:val="clear" w:color="auto" w:fill="FFFFFF"/>
        <w:spacing w:before="100" w:beforeAutospacing="1" w:after="100" w:afterAutospacing="1" w:line="240" w:lineRule="atLeast"/>
        <w:outlineLvl w:val="3"/>
        <w:rPr>
          <w:rFonts w:ascii="Verdana" w:eastAsia="Times New Roman" w:hAnsi="Verdana" w:cs="Tahoma"/>
          <w:b/>
          <w:bCs/>
          <w:color w:val="000000"/>
          <w:sz w:val="20"/>
          <w:szCs w:val="20"/>
          <w:lang w:eastAsia="tr-TR"/>
        </w:rPr>
      </w:pPr>
      <w:r w:rsidRPr="00105805">
        <w:rPr>
          <w:rFonts w:ascii="Verdana" w:eastAsia="Times New Roman" w:hAnsi="Verdana" w:cs="Tahoma"/>
          <w:b/>
          <w:bCs/>
          <w:color w:val="000000"/>
          <w:sz w:val="20"/>
          <w:szCs w:val="20"/>
          <w:lang w:eastAsia="tr-TR"/>
        </w:rPr>
        <w:t>İş Konseyi</w:t>
      </w:r>
    </w:p>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105805">
        <w:rPr>
          <w:rFonts w:ascii="Tahoma" w:eastAsia="Times New Roman" w:hAnsi="Tahoma" w:cs="Tahoma"/>
          <w:color w:val="111111"/>
          <w:sz w:val="20"/>
          <w:szCs w:val="20"/>
          <w:lang w:eastAsia="tr-TR"/>
        </w:rPr>
        <w:t>Çoğunluğu Dubai’de olmak üzere, BAE’de yaklaşık 150 Türk firması (şirket, şube, temsilcilik ofisi kapsamında) faaliyet göstermektedir.</w:t>
      </w:r>
    </w:p>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105805">
        <w:rPr>
          <w:rFonts w:ascii="Tahoma" w:eastAsia="Times New Roman" w:hAnsi="Tahoma" w:cs="Tahoma"/>
          <w:color w:val="111111"/>
          <w:sz w:val="20"/>
          <w:szCs w:val="20"/>
          <w:lang w:eastAsia="tr-TR"/>
        </w:rPr>
        <w:t>Ülkede faaliyet gösteren Türk işadamları ve profesyonellerinin oluşturduğu Türk İş Konseyi 2005 yılı Şubat ayında Dubai Ticaret ve Sanayi Odası’nın himayesinde ve gözetiminde seçimlerini yapmış, 21 Mart 2005 tarihinde de anılan Oda’ya tescil edilmiştir.</w:t>
      </w:r>
    </w:p>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105805">
        <w:rPr>
          <w:rFonts w:ascii="Tahoma" w:eastAsia="Times New Roman" w:hAnsi="Tahoma" w:cs="Tahoma"/>
          <w:color w:val="111111"/>
          <w:sz w:val="20"/>
          <w:szCs w:val="20"/>
          <w:lang w:eastAsia="tr-TR"/>
        </w:rPr>
        <w:t xml:space="preserve">İş Konseyi Türk tarafı </w:t>
      </w:r>
      <w:r w:rsidR="00110A4A" w:rsidRPr="00105805">
        <w:rPr>
          <w:rFonts w:ascii="Tahoma" w:eastAsia="Times New Roman" w:hAnsi="Tahoma" w:cs="Tahoma"/>
          <w:color w:val="111111"/>
          <w:sz w:val="20"/>
          <w:szCs w:val="20"/>
          <w:lang w:eastAsia="tr-TR"/>
        </w:rPr>
        <w:t>eş başkanı</w:t>
      </w:r>
      <w:r w:rsidRPr="00105805">
        <w:rPr>
          <w:rFonts w:ascii="Tahoma" w:eastAsia="Times New Roman" w:hAnsi="Tahoma" w:cs="Tahoma"/>
          <w:color w:val="111111"/>
          <w:sz w:val="20"/>
          <w:szCs w:val="20"/>
          <w:lang w:eastAsia="tr-TR"/>
        </w:rPr>
        <w:t xml:space="preserve"> Korhan Kurdoğlu, BAE tarafı </w:t>
      </w:r>
      <w:r w:rsidR="00110A4A" w:rsidRPr="00105805">
        <w:rPr>
          <w:rFonts w:ascii="Tahoma" w:eastAsia="Times New Roman" w:hAnsi="Tahoma" w:cs="Tahoma"/>
          <w:color w:val="111111"/>
          <w:sz w:val="20"/>
          <w:szCs w:val="20"/>
          <w:lang w:eastAsia="tr-TR"/>
        </w:rPr>
        <w:t>eş Başkanı</w:t>
      </w:r>
      <w:r w:rsidRPr="00105805">
        <w:rPr>
          <w:rFonts w:ascii="Tahoma" w:eastAsia="Times New Roman" w:hAnsi="Tahoma" w:cs="Tahoma"/>
          <w:color w:val="111111"/>
          <w:sz w:val="20"/>
          <w:szCs w:val="20"/>
          <w:lang w:eastAsia="tr-TR"/>
        </w:rPr>
        <w:t xml:space="preserve"> Salah </w:t>
      </w:r>
      <w:proofErr w:type="spellStart"/>
      <w:r w:rsidRPr="00105805">
        <w:rPr>
          <w:rFonts w:ascii="Tahoma" w:eastAsia="Times New Roman" w:hAnsi="Tahoma" w:cs="Tahoma"/>
          <w:color w:val="111111"/>
          <w:sz w:val="20"/>
          <w:szCs w:val="20"/>
          <w:lang w:eastAsia="tr-TR"/>
        </w:rPr>
        <w:t>Omar</w:t>
      </w:r>
      <w:proofErr w:type="spellEnd"/>
      <w:r w:rsidRPr="00105805">
        <w:rPr>
          <w:rFonts w:ascii="Tahoma" w:eastAsia="Times New Roman" w:hAnsi="Tahoma" w:cs="Tahoma"/>
          <w:color w:val="111111"/>
          <w:sz w:val="20"/>
          <w:szCs w:val="20"/>
          <w:lang w:eastAsia="tr-TR"/>
        </w:rPr>
        <w:t xml:space="preserve"> </w:t>
      </w:r>
      <w:proofErr w:type="spellStart"/>
      <w:r w:rsidRPr="00105805">
        <w:rPr>
          <w:rFonts w:ascii="Tahoma" w:eastAsia="Times New Roman" w:hAnsi="Tahoma" w:cs="Tahoma"/>
          <w:color w:val="111111"/>
          <w:sz w:val="20"/>
          <w:szCs w:val="20"/>
          <w:lang w:eastAsia="tr-TR"/>
        </w:rPr>
        <w:t>Shamsidir</w:t>
      </w:r>
      <w:proofErr w:type="spellEnd"/>
      <w:r w:rsidRPr="00105805">
        <w:rPr>
          <w:rFonts w:ascii="Tahoma" w:eastAsia="Times New Roman" w:hAnsi="Tahoma" w:cs="Tahoma"/>
          <w:color w:val="111111"/>
          <w:sz w:val="20"/>
          <w:szCs w:val="20"/>
          <w:lang w:eastAsia="tr-TR"/>
        </w:rPr>
        <w:t xml:space="preserve">. Son Türk-BAE İş Forumu, Cumhurbaşkanımız Sayın Abdullah Gül’ün ziyaretleri esnasında 2012 yılı Ocak ayında, Dubai’de yapılmıştır. Buna ilaveten, Ticaret Odası’na bağlı olarak Dubai ve Kuzey Emirlikleri Türk İş Konseyi ile Abu </w:t>
      </w:r>
      <w:proofErr w:type="spellStart"/>
      <w:r w:rsidRPr="00105805">
        <w:rPr>
          <w:rFonts w:ascii="Tahoma" w:eastAsia="Times New Roman" w:hAnsi="Tahoma" w:cs="Tahoma"/>
          <w:color w:val="111111"/>
          <w:sz w:val="20"/>
          <w:szCs w:val="20"/>
          <w:lang w:eastAsia="tr-TR"/>
        </w:rPr>
        <w:t>Dhabi</w:t>
      </w:r>
      <w:proofErr w:type="spellEnd"/>
      <w:r w:rsidRPr="00105805">
        <w:rPr>
          <w:rFonts w:ascii="Tahoma" w:eastAsia="Times New Roman" w:hAnsi="Tahoma" w:cs="Tahoma"/>
          <w:color w:val="111111"/>
          <w:sz w:val="20"/>
          <w:szCs w:val="20"/>
          <w:lang w:eastAsia="tr-TR"/>
        </w:rPr>
        <w:t xml:space="preserve"> Türk İş Konseyi bulunmaktadır. </w:t>
      </w:r>
      <w:r w:rsidRPr="00105805">
        <w:rPr>
          <w:rFonts w:ascii="Tahoma" w:eastAsia="Times New Roman" w:hAnsi="Tahoma" w:cs="Tahoma"/>
          <w:color w:val="111111"/>
          <w:sz w:val="20"/>
          <w:szCs w:val="20"/>
          <w:lang w:eastAsia="tr-TR"/>
        </w:rPr>
        <w:br/>
        <w:t> </w:t>
      </w:r>
    </w:p>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105805">
        <w:rPr>
          <w:rFonts w:ascii="Verdana" w:eastAsia="Times New Roman" w:hAnsi="Verdana" w:cs="Tahoma"/>
          <w:b/>
          <w:bCs/>
          <w:color w:val="000000"/>
          <w:sz w:val="20"/>
          <w:szCs w:val="20"/>
          <w:lang w:eastAsia="tr-TR"/>
        </w:rPr>
        <w:t>Genel Değerlendirme ve Öngörüler</w:t>
      </w:r>
    </w:p>
    <w:p w:rsidR="00105805" w:rsidRPr="00105805" w:rsidRDefault="00105805" w:rsidP="00105805">
      <w:pPr>
        <w:shd w:val="clear" w:color="auto" w:fill="FFFFFF"/>
        <w:spacing w:before="100" w:beforeAutospacing="1" w:after="100" w:afterAutospacing="1" w:line="240" w:lineRule="atLeast"/>
        <w:outlineLvl w:val="3"/>
        <w:rPr>
          <w:rFonts w:ascii="Verdana" w:eastAsia="Times New Roman" w:hAnsi="Verdana" w:cs="Tahoma"/>
          <w:b/>
          <w:bCs/>
          <w:color w:val="000000"/>
          <w:sz w:val="20"/>
          <w:szCs w:val="20"/>
          <w:lang w:eastAsia="tr-TR"/>
        </w:rPr>
      </w:pPr>
      <w:r w:rsidRPr="00105805">
        <w:rPr>
          <w:rFonts w:ascii="Verdana" w:eastAsia="Times New Roman" w:hAnsi="Verdana" w:cs="Tahoma"/>
          <w:b/>
          <w:bCs/>
          <w:color w:val="000000"/>
          <w:sz w:val="20"/>
          <w:szCs w:val="20"/>
          <w:lang w:eastAsia="tr-TR"/>
        </w:rPr>
        <w:t>Giriş</w:t>
      </w:r>
    </w:p>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105805">
        <w:rPr>
          <w:rFonts w:ascii="Tahoma" w:eastAsia="Times New Roman" w:hAnsi="Tahoma" w:cs="Tahoma"/>
          <w:color w:val="111111"/>
          <w:sz w:val="20"/>
          <w:szCs w:val="20"/>
          <w:lang w:eastAsia="tr-TR"/>
        </w:rPr>
        <w:t xml:space="preserve">• BAE, </w:t>
      </w:r>
      <w:proofErr w:type="gramStart"/>
      <w:r w:rsidRPr="00105805">
        <w:rPr>
          <w:rFonts w:ascii="Tahoma" w:eastAsia="Times New Roman" w:hAnsi="Tahoma" w:cs="Tahoma"/>
          <w:color w:val="111111"/>
          <w:sz w:val="20"/>
          <w:szCs w:val="20"/>
          <w:lang w:eastAsia="tr-TR"/>
        </w:rPr>
        <w:t>global</w:t>
      </w:r>
      <w:proofErr w:type="gramEnd"/>
      <w:r w:rsidRPr="00105805">
        <w:rPr>
          <w:rFonts w:ascii="Tahoma" w:eastAsia="Times New Roman" w:hAnsi="Tahoma" w:cs="Tahoma"/>
          <w:color w:val="111111"/>
          <w:sz w:val="20"/>
          <w:szCs w:val="20"/>
          <w:lang w:eastAsia="tr-TR"/>
        </w:rPr>
        <w:t xml:space="preserve"> mali krizden ciddi şekilde etkilenmiş olmakla birlikte, halen Körfez’in en dinamik, tüm Orta Doğu ve K. Afrika Bölgesinin politik ve ekonomik olarak en istikrarlı ülkelerinden birisidir. Dubai dünyanın üçüncü, bölgenin ise en önemli re-export merkezidir. </w:t>
      </w:r>
    </w:p>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105805">
        <w:rPr>
          <w:rFonts w:ascii="Tahoma" w:eastAsia="Times New Roman" w:hAnsi="Tahoma" w:cs="Tahoma"/>
          <w:color w:val="111111"/>
          <w:sz w:val="20"/>
          <w:szCs w:val="20"/>
          <w:lang w:eastAsia="tr-TR"/>
        </w:rPr>
        <w:t xml:space="preserve">• BAE, yapılacak çeşitli yatırımlar açısından ülkemize önemli fırsatlar sunabilecek bir pazardır. Özellikle BAE içindeki serbest bölgeler, yatırımcılara çok geniş </w:t>
      </w:r>
      <w:proofErr w:type="gramStart"/>
      <w:r w:rsidRPr="00105805">
        <w:rPr>
          <w:rFonts w:ascii="Tahoma" w:eastAsia="Times New Roman" w:hAnsi="Tahoma" w:cs="Tahoma"/>
          <w:color w:val="111111"/>
          <w:sz w:val="20"/>
          <w:szCs w:val="20"/>
          <w:lang w:eastAsia="tr-TR"/>
        </w:rPr>
        <w:t>imkanlar</w:t>
      </w:r>
      <w:proofErr w:type="gramEnd"/>
      <w:r w:rsidRPr="00105805">
        <w:rPr>
          <w:rFonts w:ascii="Tahoma" w:eastAsia="Times New Roman" w:hAnsi="Tahoma" w:cs="Tahoma"/>
          <w:color w:val="111111"/>
          <w:sz w:val="20"/>
          <w:szCs w:val="20"/>
          <w:lang w:eastAsia="tr-TR"/>
        </w:rPr>
        <w:t xml:space="preserve"> ve avantajlar sunmaktadır. BAE’ye yapılacak yatırımlarla hem BAE pazarına yönelik hem de başta Hindistan olmak üzere Güney Asya ülkelerine ve bölge ülkelerine yönelik ihracatımız açısından önemli bir avantaj kazanılacağı düşünülmektedir.</w:t>
      </w:r>
    </w:p>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105805">
        <w:rPr>
          <w:rFonts w:ascii="Tahoma" w:eastAsia="Times New Roman" w:hAnsi="Tahoma" w:cs="Tahoma"/>
          <w:color w:val="111111"/>
          <w:sz w:val="20"/>
          <w:szCs w:val="20"/>
          <w:lang w:eastAsia="tr-TR"/>
        </w:rPr>
        <w:t>• Türkiye ile BAE arasında özellikle inşaat malzemeleri, mobilya ve dekorasyon ürünleri, gıda ürünleri endüstrisi, oto yan sanayi,</w:t>
      </w:r>
      <w:r>
        <w:rPr>
          <w:rFonts w:ascii="Tahoma" w:eastAsia="Times New Roman" w:hAnsi="Tahoma" w:cs="Tahoma"/>
          <w:color w:val="111111"/>
          <w:sz w:val="20"/>
          <w:szCs w:val="20"/>
          <w:lang w:eastAsia="tr-TR"/>
        </w:rPr>
        <w:t xml:space="preserve"> </w:t>
      </w:r>
      <w:r w:rsidRPr="00105805">
        <w:rPr>
          <w:rFonts w:ascii="Tahoma" w:eastAsia="Times New Roman" w:hAnsi="Tahoma" w:cs="Tahoma"/>
          <w:color w:val="111111"/>
          <w:sz w:val="20"/>
          <w:szCs w:val="20"/>
          <w:lang w:eastAsia="tr-TR"/>
        </w:rPr>
        <w:t xml:space="preserve">elektrik malzemeleri, hazır giyim, mücevherat, medikal ürünler, kozmetik ve kişisel bakım ürünleri alanlarında işbirliği yapılabileceği düşünülmektedir. Diğer taraftan emlak, turizm, sağlık turizmi, eğitim, perakende( </w:t>
      </w:r>
      <w:proofErr w:type="spellStart"/>
      <w:r w:rsidRPr="00105805">
        <w:rPr>
          <w:rFonts w:ascii="Tahoma" w:eastAsia="Times New Roman" w:hAnsi="Tahoma" w:cs="Tahoma"/>
          <w:color w:val="111111"/>
          <w:sz w:val="20"/>
          <w:szCs w:val="20"/>
          <w:lang w:eastAsia="tr-TR"/>
        </w:rPr>
        <w:t>franchising</w:t>
      </w:r>
      <w:proofErr w:type="spellEnd"/>
      <w:r w:rsidRPr="00105805">
        <w:rPr>
          <w:rFonts w:ascii="Tahoma" w:eastAsia="Times New Roman" w:hAnsi="Tahoma" w:cs="Tahoma"/>
          <w:color w:val="111111"/>
          <w:sz w:val="20"/>
          <w:szCs w:val="20"/>
          <w:lang w:eastAsia="tr-TR"/>
        </w:rPr>
        <w:t xml:space="preserve"> başta olmak üzere) çeşitli alanlarda karşılıklı yatırım </w:t>
      </w:r>
      <w:proofErr w:type="gramStart"/>
      <w:r w:rsidRPr="00105805">
        <w:rPr>
          <w:rFonts w:ascii="Tahoma" w:eastAsia="Times New Roman" w:hAnsi="Tahoma" w:cs="Tahoma"/>
          <w:color w:val="111111"/>
          <w:sz w:val="20"/>
          <w:szCs w:val="20"/>
          <w:lang w:eastAsia="tr-TR"/>
        </w:rPr>
        <w:t>imkanları</w:t>
      </w:r>
      <w:proofErr w:type="gramEnd"/>
      <w:r w:rsidRPr="00105805">
        <w:rPr>
          <w:rFonts w:ascii="Tahoma" w:eastAsia="Times New Roman" w:hAnsi="Tahoma" w:cs="Tahoma"/>
          <w:color w:val="111111"/>
          <w:sz w:val="20"/>
          <w:szCs w:val="20"/>
          <w:lang w:eastAsia="tr-TR"/>
        </w:rPr>
        <w:t xml:space="preserve"> mevcuttur.</w:t>
      </w:r>
    </w:p>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105805">
        <w:rPr>
          <w:rFonts w:ascii="Tahoma" w:eastAsia="Times New Roman" w:hAnsi="Tahoma" w:cs="Tahoma"/>
          <w:color w:val="111111"/>
          <w:sz w:val="20"/>
          <w:szCs w:val="20"/>
          <w:lang w:eastAsia="tr-TR"/>
        </w:rPr>
        <w:t>• BAE pazarında, özel markalı (</w:t>
      </w:r>
      <w:proofErr w:type="spellStart"/>
      <w:r w:rsidRPr="00105805">
        <w:rPr>
          <w:rFonts w:ascii="Tahoma" w:eastAsia="Times New Roman" w:hAnsi="Tahoma" w:cs="Tahoma"/>
          <w:color w:val="111111"/>
          <w:sz w:val="20"/>
          <w:szCs w:val="20"/>
          <w:lang w:eastAsia="tr-TR"/>
        </w:rPr>
        <w:t>private</w:t>
      </w:r>
      <w:proofErr w:type="spellEnd"/>
      <w:r w:rsidRPr="00105805">
        <w:rPr>
          <w:rFonts w:ascii="Tahoma" w:eastAsia="Times New Roman" w:hAnsi="Tahoma" w:cs="Tahoma"/>
          <w:color w:val="111111"/>
          <w:sz w:val="20"/>
          <w:szCs w:val="20"/>
          <w:lang w:eastAsia="tr-TR"/>
        </w:rPr>
        <w:t xml:space="preserve"> </w:t>
      </w:r>
      <w:proofErr w:type="spellStart"/>
      <w:r w:rsidRPr="00105805">
        <w:rPr>
          <w:rFonts w:ascii="Tahoma" w:eastAsia="Times New Roman" w:hAnsi="Tahoma" w:cs="Tahoma"/>
          <w:color w:val="111111"/>
          <w:sz w:val="20"/>
          <w:szCs w:val="20"/>
          <w:lang w:eastAsia="tr-TR"/>
        </w:rPr>
        <w:t>label</w:t>
      </w:r>
      <w:proofErr w:type="spellEnd"/>
      <w:r w:rsidRPr="00105805">
        <w:rPr>
          <w:rFonts w:ascii="Tahoma" w:eastAsia="Times New Roman" w:hAnsi="Tahoma" w:cs="Tahoma"/>
          <w:color w:val="111111"/>
          <w:sz w:val="20"/>
          <w:szCs w:val="20"/>
          <w:lang w:eastAsia="tr-TR"/>
        </w:rPr>
        <w:t xml:space="preserve">)ürünlerin satışı ise giderek artmaktadır. Pek çok perakendeci ve gıda ithalatçısı ithal ettikleri ürünleri kendi markalarıyla daha uygun fiyatla pazara sunmaktadır. Bu alanda firmalarımız için de </w:t>
      </w:r>
      <w:proofErr w:type="gramStart"/>
      <w:r w:rsidRPr="00105805">
        <w:rPr>
          <w:rFonts w:ascii="Tahoma" w:eastAsia="Times New Roman" w:hAnsi="Tahoma" w:cs="Tahoma"/>
          <w:color w:val="111111"/>
          <w:sz w:val="20"/>
          <w:szCs w:val="20"/>
          <w:lang w:eastAsia="tr-TR"/>
        </w:rPr>
        <w:t>imkanlar</w:t>
      </w:r>
      <w:proofErr w:type="gramEnd"/>
      <w:r w:rsidRPr="00105805">
        <w:rPr>
          <w:rFonts w:ascii="Tahoma" w:eastAsia="Times New Roman" w:hAnsi="Tahoma" w:cs="Tahoma"/>
          <w:color w:val="111111"/>
          <w:sz w:val="20"/>
          <w:szCs w:val="20"/>
          <w:lang w:eastAsia="tr-TR"/>
        </w:rPr>
        <w:t xml:space="preserve"> bulunmaktadır.</w:t>
      </w:r>
    </w:p>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105805">
        <w:rPr>
          <w:rFonts w:ascii="Tahoma" w:eastAsia="Times New Roman" w:hAnsi="Tahoma" w:cs="Tahoma"/>
          <w:color w:val="111111"/>
          <w:sz w:val="20"/>
          <w:szCs w:val="20"/>
          <w:lang w:eastAsia="tr-TR"/>
        </w:rPr>
        <w:t xml:space="preserve">• Petrol-doğal gaz satışlarından 2030 yılına kadar </w:t>
      </w:r>
      <w:proofErr w:type="gramStart"/>
      <w:r w:rsidRPr="00105805">
        <w:rPr>
          <w:rFonts w:ascii="Tahoma" w:eastAsia="Times New Roman" w:hAnsi="Tahoma" w:cs="Tahoma"/>
          <w:color w:val="111111"/>
          <w:sz w:val="20"/>
          <w:szCs w:val="20"/>
          <w:lang w:eastAsia="tr-TR"/>
        </w:rPr>
        <w:t>7.5</w:t>
      </w:r>
      <w:proofErr w:type="gramEnd"/>
      <w:r w:rsidRPr="00105805">
        <w:rPr>
          <w:rFonts w:ascii="Tahoma" w:eastAsia="Times New Roman" w:hAnsi="Tahoma" w:cs="Tahoma"/>
          <w:color w:val="111111"/>
          <w:sz w:val="20"/>
          <w:szCs w:val="20"/>
          <w:lang w:eastAsia="tr-TR"/>
        </w:rPr>
        <w:t xml:space="preserve"> trilyon dolar gelir elde edecek Abu </w:t>
      </w:r>
      <w:proofErr w:type="spellStart"/>
      <w:r w:rsidRPr="00105805">
        <w:rPr>
          <w:rFonts w:ascii="Tahoma" w:eastAsia="Times New Roman" w:hAnsi="Tahoma" w:cs="Tahoma"/>
          <w:color w:val="111111"/>
          <w:sz w:val="20"/>
          <w:szCs w:val="20"/>
          <w:lang w:eastAsia="tr-TR"/>
        </w:rPr>
        <w:t>Dhabi’nin</w:t>
      </w:r>
      <w:proofErr w:type="spellEnd"/>
      <w:r w:rsidRPr="00105805">
        <w:rPr>
          <w:rFonts w:ascii="Tahoma" w:eastAsia="Times New Roman" w:hAnsi="Tahoma" w:cs="Tahoma"/>
          <w:color w:val="111111"/>
          <w:sz w:val="20"/>
          <w:szCs w:val="20"/>
          <w:lang w:eastAsia="tr-TR"/>
        </w:rPr>
        <w:t xml:space="preserve"> altyapı ve sanayi projelerinde firmalarımızın kazan-kazan esasına göre yatırım- işbirliği fırsatları değerlendirmelerinde fayda görülmektedir.</w:t>
      </w:r>
    </w:p>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105805">
        <w:rPr>
          <w:rFonts w:ascii="Tahoma" w:eastAsia="Times New Roman" w:hAnsi="Tahoma" w:cs="Tahoma"/>
          <w:color w:val="111111"/>
          <w:sz w:val="20"/>
          <w:szCs w:val="20"/>
          <w:lang w:eastAsia="tr-TR"/>
        </w:rPr>
        <w:t xml:space="preserve">• Bu anlamda, BAE içinde </w:t>
      </w:r>
      <w:proofErr w:type="gramStart"/>
      <w:r w:rsidRPr="00105805">
        <w:rPr>
          <w:rFonts w:ascii="Tahoma" w:eastAsia="Times New Roman" w:hAnsi="Tahoma" w:cs="Tahoma"/>
          <w:color w:val="111111"/>
          <w:sz w:val="20"/>
          <w:szCs w:val="20"/>
          <w:lang w:eastAsia="tr-TR"/>
        </w:rPr>
        <w:t>müteahhitlik</w:t>
      </w:r>
      <w:proofErr w:type="gramEnd"/>
      <w:r w:rsidRPr="00105805">
        <w:rPr>
          <w:rFonts w:ascii="Tahoma" w:eastAsia="Times New Roman" w:hAnsi="Tahoma" w:cs="Tahoma"/>
          <w:color w:val="111111"/>
          <w:sz w:val="20"/>
          <w:szCs w:val="20"/>
          <w:lang w:eastAsia="tr-TR"/>
        </w:rPr>
        <w:t xml:space="preserve"> firmalarımızın, önümüzdeki 5 yıl içinde yaklaşık 272 milyar Dolar altyapı yatırımı yapılacağı açıklanan Abu </w:t>
      </w:r>
      <w:proofErr w:type="spellStart"/>
      <w:r w:rsidRPr="00105805">
        <w:rPr>
          <w:rFonts w:ascii="Tahoma" w:eastAsia="Times New Roman" w:hAnsi="Tahoma" w:cs="Tahoma"/>
          <w:color w:val="111111"/>
          <w:sz w:val="20"/>
          <w:szCs w:val="20"/>
          <w:lang w:eastAsia="tr-TR"/>
        </w:rPr>
        <w:t>Dhabi</w:t>
      </w:r>
      <w:proofErr w:type="spellEnd"/>
      <w:r w:rsidRPr="00105805">
        <w:rPr>
          <w:rFonts w:ascii="Tahoma" w:eastAsia="Times New Roman" w:hAnsi="Tahoma" w:cs="Tahoma"/>
          <w:color w:val="111111"/>
          <w:sz w:val="20"/>
          <w:szCs w:val="20"/>
          <w:lang w:eastAsia="tr-TR"/>
        </w:rPr>
        <w:t xml:space="preserve"> emirliğindeki projeleri takip etmelerinde yarar </w:t>
      </w:r>
      <w:r w:rsidRPr="00105805">
        <w:rPr>
          <w:rFonts w:ascii="Tahoma" w:eastAsia="Times New Roman" w:hAnsi="Tahoma" w:cs="Tahoma"/>
          <w:color w:val="111111"/>
          <w:sz w:val="20"/>
          <w:szCs w:val="20"/>
          <w:lang w:eastAsia="tr-TR"/>
        </w:rPr>
        <w:lastRenderedPageBreak/>
        <w:t xml:space="preserve">bulunmaktadır. Diğer taraftan, Abu </w:t>
      </w:r>
      <w:proofErr w:type="spellStart"/>
      <w:r w:rsidRPr="00105805">
        <w:rPr>
          <w:rFonts w:ascii="Tahoma" w:eastAsia="Times New Roman" w:hAnsi="Tahoma" w:cs="Tahoma"/>
          <w:color w:val="111111"/>
          <w:sz w:val="20"/>
          <w:szCs w:val="20"/>
          <w:lang w:eastAsia="tr-TR"/>
        </w:rPr>
        <w:t>Dhabi’deki</w:t>
      </w:r>
      <w:proofErr w:type="spellEnd"/>
      <w:r w:rsidRPr="00105805">
        <w:rPr>
          <w:rFonts w:ascii="Tahoma" w:eastAsia="Times New Roman" w:hAnsi="Tahoma" w:cs="Tahoma"/>
          <w:color w:val="111111"/>
          <w:sz w:val="20"/>
          <w:szCs w:val="20"/>
          <w:lang w:eastAsia="tr-TR"/>
        </w:rPr>
        <w:t xml:space="preserve"> ilgili Devlet kuruluşlarınca doğal gaz ve petrol alanlarına yönelik geliştirme, nakil hattı, çevirim santralleri başta olmak üzere önümüzdeki dönemde yeni ihalelerin açılması söz</w:t>
      </w:r>
      <w:r>
        <w:rPr>
          <w:rFonts w:ascii="Tahoma" w:eastAsia="Times New Roman" w:hAnsi="Tahoma" w:cs="Tahoma"/>
          <w:color w:val="111111"/>
          <w:sz w:val="20"/>
          <w:szCs w:val="20"/>
          <w:lang w:eastAsia="tr-TR"/>
        </w:rPr>
        <w:t xml:space="preserve"> </w:t>
      </w:r>
      <w:r w:rsidRPr="00105805">
        <w:rPr>
          <w:rFonts w:ascii="Tahoma" w:eastAsia="Times New Roman" w:hAnsi="Tahoma" w:cs="Tahoma"/>
          <w:color w:val="111111"/>
          <w:sz w:val="20"/>
          <w:szCs w:val="20"/>
          <w:lang w:eastAsia="tr-TR"/>
        </w:rPr>
        <w:t>konusudur. Benzer biçimde, turizm ve sağlık merkezlerinin kurulmasına yönelik planlara işlerlik kazandırılması amacıyla yatırımlar başlatılmıştır.</w:t>
      </w:r>
    </w:p>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105805">
        <w:rPr>
          <w:rFonts w:ascii="Tahoma" w:eastAsia="Times New Roman" w:hAnsi="Tahoma" w:cs="Tahoma"/>
          <w:color w:val="111111"/>
          <w:sz w:val="20"/>
          <w:szCs w:val="20"/>
          <w:lang w:eastAsia="tr-TR"/>
        </w:rPr>
        <w:t xml:space="preserve">• Sektör uzmanlarının değerlendirmelerinden anlaşıldığı gibi konut, ofis, alış-veriş merkezi, otel vb. emlak projelerinin tamamlanmasıyla Dubai’dekine benzer bir şekilde Abu </w:t>
      </w:r>
      <w:proofErr w:type="spellStart"/>
      <w:r w:rsidRPr="00105805">
        <w:rPr>
          <w:rFonts w:ascii="Tahoma" w:eastAsia="Times New Roman" w:hAnsi="Tahoma" w:cs="Tahoma"/>
          <w:color w:val="111111"/>
          <w:sz w:val="20"/>
          <w:szCs w:val="20"/>
          <w:lang w:eastAsia="tr-TR"/>
        </w:rPr>
        <w:t>Dhabi</w:t>
      </w:r>
      <w:proofErr w:type="spellEnd"/>
      <w:r w:rsidRPr="00105805">
        <w:rPr>
          <w:rFonts w:ascii="Tahoma" w:eastAsia="Times New Roman" w:hAnsi="Tahoma" w:cs="Tahoma"/>
          <w:color w:val="111111"/>
          <w:sz w:val="20"/>
          <w:szCs w:val="20"/>
          <w:lang w:eastAsia="tr-TR"/>
        </w:rPr>
        <w:t xml:space="preserve"> Emirliğinde de arz fazlası ortaya çıkmaya başlamıştır. Ayrıca, konut, ofis, alış-veriş merkezi, otel tarzındaki projelerin ihaleleri düşük karlarla üstlenilmekte ve son yıllarda daha sıklıkla yerel firmalar tercih edilmektedir.</w:t>
      </w:r>
    </w:p>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105805">
        <w:rPr>
          <w:rFonts w:ascii="Tahoma" w:eastAsia="Times New Roman" w:hAnsi="Tahoma" w:cs="Tahoma"/>
          <w:color w:val="111111"/>
          <w:sz w:val="20"/>
          <w:szCs w:val="20"/>
          <w:lang w:eastAsia="tr-TR"/>
        </w:rPr>
        <w:t xml:space="preserve">• 2014 ve sonrasında, </w:t>
      </w:r>
      <w:proofErr w:type="gramStart"/>
      <w:r w:rsidRPr="00105805">
        <w:rPr>
          <w:rFonts w:ascii="Tahoma" w:eastAsia="Times New Roman" w:hAnsi="Tahoma" w:cs="Tahoma"/>
          <w:color w:val="111111"/>
          <w:sz w:val="20"/>
          <w:szCs w:val="20"/>
          <w:lang w:eastAsia="tr-TR"/>
        </w:rPr>
        <w:t>müteahhit</w:t>
      </w:r>
      <w:proofErr w:type="gramEnd"/>
      <w:r w:rsidRPr="00105805">
        <w:rPr>
          <w:rFonts w:ascii="Tahoma" w:eastAsia="Times New Roman" w:hAnsi="Tahoma" w:cs="Tahoma"/>
          <w:color w:val="111111"/>
          <w:sz w:val="20"/>
          <w:szCs w:val="20"/>
          <w:lang w:eastAsia="tr-TR"/>
        </w:rPr>
        <w:t xml:space="preserve"> firmalarımızın BAE pazarında karşılaşacakları en önemli zorluklardan bazıları artan rekabet ve düşen kar marjlarıdır.</w:t>
      </w:r>
    </w:p>
    <w:p w:rsidR="00105805" w:rsidRPr="00105805" w:rsidRDefault="00105805" w:rsidP="00105805">
      <w:pPr>
        <w:shd w:val="clear" w:color="auto" w:fill="FFFFFF"/>
        <w:spacing w:before="100" w:beforeAutospacing="1" w:after="100" w:afterAutospacing="1" w:line="240" w:lineRule="auto"/>
        <w:jc w:val="both"/>
        <w:rPr>
          <w:rFonts w:ascii="Tahoma" w:eastAsia="Times New Roman" w:hAnsi="Tahoma" w:cs="Tahoma"/>
          <w:color w:val="111111"/>
          <w:sz w:val="20"/>
          <w:szCs w:val="20"/>
          <w:lang w:eastAsia="tr-TR"/>
        </w:rPr>
      </w:pPr>
      <w:r w:rsidRPr="00105805">
        <w:rPr>
          <w:rFonts w:ascii="Tahoma" w:eastAsia="Times New Roman" w:hAnsi="Tahoma" w:cs="Tahoma"/>
          <w:color w:val="111111"/>
          <w:sz w:val="20"/>
          <w:szCs w:val="20"/>
          <w:lang w:eastAsia="tr-TR"/>
        </w:rPr>
        <w:t xml:space="preserve">• Körfez Bölgesinde yapılacak alt yapı yatırımları içinde %35 paya sahip olacak Abu </w:t>
      </w:r>
      <w:proofErr w:type="spellStart"/>
      <w:r w:rsidRPr="00105805">
        <w:rPr>
          <w:rFonts w:ascii="Tahoma" w:eastAsia="Times New Roman" w:hAnsi="Tahoma" w:cs="Tahoma"/>
          <w:color w:val="111111"/>
          <w:sz w:val="20"/>
          <w:szCs w:val="20"/>
          <w:lang w:eastAsia="tr-TR"/>
        </w:rPr>
        <w:t>Dhabi</w:t>
      </w:r>
      <w:proofErr w:type="spellEnd"/>
      <w:r w:rsidRPr="00105805">
        <w:rPr>
          <w:rFonts w:ascii="Tahoma" w:eastAsia="Times New Roman" w:hAnsi="Tahoma" w:cs="Tahoma"/>
          <w:color w:val="111111"/>
          <w:sz w:val="20"/>
          <w:szCs w:val="20"/>
          <w:lang w:eastAsia="tr-TR"/>
        </w:rPr>
        <w:t xml:space="preserve"> emirliğinde taahhüt üstlenebilmek için firmalarımızın anılan merkezde şube veya </w:t>
      </w:r>
      <w:proofErr w:type="spellStart"/>
      <w:r w:rsidRPr="00105805">
        <w:rPr>
          <w:rFonts w:ascii="Tahoma" w:eastAsia="Times New Roman" w:hAnsi="Tahoma" w:cs="Tahoma"/>
          <w:color w:val="111111"/>
          <w:sz w:val="20"/>
          <w:szCs w:val="20"/>
          <w:lang w:eastAsia="tr-TR"/>
        </w:rPr>
        <w:t>limited</w:t>
      </w:r>
      <w:proofErr w:type="spellEnd"/>
      <w:r w:rsidRPr="00105805">
        <w:rPr>
          <w:rFonts w:ascii="Tahoma" w:eastAsia="Times New Roman" w:hAnsi="Tahoma" w:cs="Tahoma"/>
          <w:color w:val="111111"/>
          <w:sz w:val="20"/>
          <w:szCs w:val="20"/>
          <w:lang w:eastAsia="tr-TR"/>
        </w:rPr>
        <w:t xml:space="preserve"> şirket kurmak yoluyla yapılanmaları ihale </w:t>
      </w:r>
      <w:proofErr w:type="gramStart"/>
      <w:r w:rsidRPr="00105805">
        <w:rPr>
          <w:rFonts w:ascii="Tahoma" w:eastAsia="Times New Roman" w:hAnsi="Tahoma" w:cs="Tahoma"/>
          <w:color w:val="111111"/>
          <w:sz w:val="20"/>
          <w:szCs w:val="20"/>
          <w:lang w:eastAsia="tr-TR"/>
        </w:rPr>
        <w:t>prosedürleri</w:t>
      </w:r>
      <w:proofErr w:type="gramEnd"/>
      <w:r w:rsidRPr="00105805">
        <w:rPr>
          <w:rFonts w:ascii="Tahoma" w:eastAsia="Times New Roman" w:hAnsi="Tahoma" w:cs="Tahoma"/>
          <w:color w:val="111111"/>
          <w:sz w:val="20"/>
          <w:szCs w:val="20"/>
          <w:lang w:eastAsia="tr-TR"/>
        </w:rPr>
        <w:t xml:space="preserve"> gereği zorunlu bulunmaktadır. Bahse</w:t>
      </w:r>
      <w:r w:rsidR="00110A4A">
        <w:rPr>
          <w:rFonts w:ascii="Tahoma" w:eastAsia="Times New Roman" w:hAnsi="Tahoma" w:cs="Tahoma"/>
          <w:color w:val="111111"/>
          <w:sz w:val="20"/>
          <w:szCs w:val="20"/>
          <w:lang w:eastAsia="tr-TR"/>
        </w:rPr>
        <w:t xml:space="preserve"> </w:t>
      </w:r>
      <w:r w:rsidRPr="00105805">
        <w:rPr>
          <w:rFonts w:ascii="Tahoma" w:eastAsia="Times New Roman" w:hAnsi="Tahoma" w:cs="Tahoma"/>
          <w:color w:val="111111"/>
          <w:sz w:val="20"/>
          <w:szCs w:val="20"/>
          <w:lang w:eastAsia="tr-TR"/>
        </w:rPr>
        <w:t xml:space="preserve">konu iş fırsatlarıyla beraber, bölgede yapı sektörü için çekim merkezi olan Abu </w:t>
      </w:r>
      <w:proofErr w:type="spellStart"/>
      <w:r w:rsidRPr="00105805">
        <w:rPr>
          <w:rFonts w:ascii="Tahoma" w:eastAsia="Times New Roman" w:hAnsi="Tahoma" w:cs="Tahoma"/>
          <w:color w:val="111111"/>
          <w:sz w:val="20"/>
          <w:szCs w:val="20"/>
          <w:lang w:eastAsia="tr-TR"/>
        </w:rPr>
        <w:t>Dhabi’de</w:t>
      </w:r>
      <w:proofErr w:type="spellEnd"/>
      <w:r w:rsidRPr="00105805">
        <w:rPr>
          <w:rFonts w:ascii="Tahoma" w:eastAsia="Times New Roman" w:hAnsi="Tahoma" w:cs="Tahoma"/>
          <w:color w:val="111111"/>
          <w:sz w:val="20"/>
          <w:szCs w:val="20"/>
          <w:lang w:eastAsia="tr-TR"/>
        </w:rPr>
        <w:t xml:space="preserve"> </w:t>
      </w:r>
      <w:proofErr w:type="gramStart"/>
      <w:r w:rsidRPr="00105805">
        <w:rPr>
          <w:rFonts w:ascii="Tahoma" w:eastAsia="Times New Roman" w:hAnsi="Tahoma" w:cs="Tahoma"/>
          <w:color w:val="111111"/>
          <w:sz w:val="20"/>
          <w:szCs w:val="20"/>
          <w:lang w:eastAsia="tr-TR"/>
        </w:rPr>
        <w:t>müteahhitlik</w:t>
      </w:r>
      <w:proofErr w:type="gramEnd"/>
      <w:r w:rsidRPr="00105805">
        <w:rPr>
          <w:rFonts w:ascii="Tahoma" w:eastAsia="Times New Roman" w:hAnsi="Tahoma" w:cs="Tahoma"/>
          <w:color w:val="111111"/>
          <w:sz w:val="20"/>
          <w:szCs w:val="20"/>
          <w:lang w:eastAsia="tr-TR"/>
        </w:rPr>
        <w:t xml:space="preserve"> firmaları arasındaki rekabet de artmış bulunmaktadır. Dolayısıyla firmalarımızın ihtisas sahibi olduğu teknik yönden farklılaşma gerektiren sahalara yönelmeleri, söz</w:t>
      </w:r>
      <w:r>
        <w:rPr>
          <w:rFonts w:ascii="Tahoma" w:eastAsia="Times New Roman" w:hAnsi="Tahoma" w:cs="Tahoma"/>
          <w:color w:val="111111"/>
          <w:sz w:val="20"/>
          <w:szCs w:val="20"/>
          <w:lang w:eastAsia="tr-TR"/>
        </w:rPr>
        <w:t xml:space="preserve"> </w:t>
      </w:r>
      <w:r w:rsidRPr="00105805">
        <w:rPr>
          <w:rFonts w:ascii="Tahoma" w:eastAsia="Times New Roman" w:hAnsi="Tahoma" w:cs="Tahoma"/>
          <w:color w:val="111111"/>
          <w:sz w:val="20"/>
          <w:szCs w:val="20"/>
          <w:lang w:eastAsia="tr-TR"/>
        </w:rPr>
        <w:t>konusu rekabetin getireceği engellerin bertaraf edilmesine katkı sağlayacaktır.</w:t>
      </w:r>
    </w:p>
    <w:p w:rsidR="00105805" w:rsidRPr="00105805" w:rsidRDefault="00105805" w:rsidP="00105805">
      <w:pPr>
        <w:shd w:val="clear" w:color="auto" w:fill="FFFFFF"/>
        <w:spacing w:before="100" w:beforeAutospacing="1" w:after="100" w:afterAutospacing="1" w:line="240" w:lineRule="auto"/>
        <w:ind w:left="4200"/>
        <w:jc w:val="both"/>
        <w:rPr>
          <w:rFonts w:ascii="Tahoma" w:eastAsia="Times New Roman" w:hAnsi="Tahoma" w:cs="Tahoma"/>
          <w:color w:val="111111"/>
          <w:sz w:val="20"/>
          <w:szCs w:val="20"/>
          <w:lang w:eastAsia="tr-TR"/>
        </w:rPr>
      </w:pPr>
      <w:r w:rsidRPr="00105805">
        <w:rPr>
          <w:rFonts w:ascii="Tahoma" w:eastAsia="Times New Roman" w:hAnsi="Tahoma" w:cs="Tahoma"/>
          <w:color w:val="111111"/>
          <w:sz w:val="20"/>
          <w:szCs w:val="20"/>
          <w:lang w:eastAsia="tr-TR"/>
        </w:rPr>
        <w:br/>
        <w:t> </w:t>
      </w:r>
    </w:p>
    <w:p w:rsidR="00105805" w:rsidRPr="00105805" w:rsidRDefault="00105805" w:rsidP="00491E09">
      <w:pPr>
        <w:rPr>
          <w:sz w:val="20"/>
          <w:szCs w:val="20"/>
        </w:rPr>
      </w:pPr>
    </w:p>
    <w:sectPr w:rsidR="00105805" w:rsidRPr="001058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85D" w:rsidRDefault="0055685D" w:rsidP="00491E09">
      <w:pPr>
        <w:spacing w:after="0" w:line="240" w:lineRule="auto"/>
      </w:pPr>
      <w:r>
        <w:separator/>
      </w:r>
    </w:p>
  </w:endnote>
  <w:endnote w:type="continuationSeparator" w:id="0">
    <w:p w:rsidR="0055685D" w:rsidRDefault="0055685D" w:rsidP="00491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85D" w:rsidRDefault="0055685D" w:rsidP="00491E09">
      <w:pPr>
        <w:spacing w:after="0" w:line="240" w:lineRule="auto"/>
      </w:pPr>
      <w:r>
        <w:separator/>
      </w:r>
    </w:p>
  </w:footnote>
  <w:footnote w:type="continuationSeparator" w:id="0">
    <w:p w:rsidR="0055685D" w:rsidRDefault="0055685D" w:rsidP="00491E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B7FAA"/>
    <w:multiLevelType w:val="multilevel"/>
    <w:tmpl w:val="D0F27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E45F8"/>
    <w:multiLevelType w:val="multilevel"/>
    <w:tmpl w:val="F3DC01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956480"/>
    <w:multiLevelType w:val="multilevel"/>
    <w:tmpl w:val="9A261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8C0EE3"/>
    <w:multiLevelType w:val="multilevel"/>
    <w:tmpl w:val="B83697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982"/>
    <w:rsid w:val="00105805"/>
    <w:rsid w:val="00110A4A"/>
    <w:rsid w:val="00491E09"/>
    <w:rsid w:val="0055685D"/>
    <w:rsid w:val="008D0982"/>
    <w:rsid w:val="00A43E9E"/>
    <w:rsid w:val="00A607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91E0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91E09"/>
  </w:style>
  <w:style w:type="paragraph" w:styleId="Altbilgi">
    <w:name w:val="footer"/>
    <w:basedOn w:val="Normal"/>
    <w:link w:val="AltbilgiChar"/>
    <w:uiPriority w:val="99"/>
    <w:unhideWhenUsed/>
    <w:rsid w:val="00491E0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91E09"/>
  </w:style>
  <w:style w:type="character" w:styleId="Gl">
    <w:name w:val="Strong"/>
    <w:basedOn w:val="VarsaylanParagrafYazTipi"/>
    <w:uiPriority w:val="22"/>
    <w:qFormat/>
    <w:rsid w:val="00491E09"/>
    <w:rPr>
      <w:b w:val="0"/>
      <w:bCs w:val="0"/>
      <w:i w:val="0"/>
      <w:iCs w:val="0"/>
    </w:rPr>
  </w:style>
  <w:style w:type="paragraph" w:customStyle="1" w:styleId="content-text">
    <w:name w:val="content-text"/>
    <w:basedOn w:val="Normal"/>
    <w:rsid w:val="00491E09"/>
    <w:pPr>
      <w:spacing w:before="100" w:beforeAutospacing="1" w:after="100" w:afterAutospacing="1" w:line="240" w:lineRule="auto"/>
      <w:ind w:left="1200"/>
      <w:jc w:val="both"/>
    </w:pPr>
    <w:rPr>
      <w:rFonts w:ascii="Times New Roman" w:eastAsia="Times New Roman" w:hAnsi="Times New Roman" w:cs="Times New Roman"/>
      <w:color w:val="111111"/>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91E0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91E09"/>
  </w:style>
  <w:style w:type="paragraph" w:styleId="Altbilgi">
    <w:name w:val="footer"/>
    <w:basedOn w:val="Normal"/>
    <w:link w:val="AltbilgiChar"/>
    <w:uiPriority w:val="99"/>
    <w:unhideWhenUsed/>
    <w:rsid w:val="00491E0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91E09"/>
  </w:style>
  <w:style w:type="character" w:styleId="Gl">
    <w:name w:val="Strong"/>
    <w:basedOn w:val="VarsaylanParagrafYazTipi"/>
    <w:uiPriority w:val="22"/>
    <w:qFormat/>
    <w:rsid w:val="00491E09"/>
    <w:rPr>
      <w:b w:val="0"/>
      <w:bCs w:val="0"/>
      <w:i w:val="0"/>
      <w:iCs w:val="0"/>
    </w:rPr>
  </w:style>
  <w:style w:type="paragraph" w:customStyle="1" w:styleId="content-text">
    <w:name w:val="content-text"/>
    <w:basedOn w:val="Normal"/>
    <w:rsid w:val="00491E09"/>
    <w:pPr>
      <w:spacing w:before="100" w:beforeAutospacing="1" w:after="100" w:afterAutospacing="1" w:line="240" w:lineRule="auto"/>
      <w:ind w:left="1200"/>
      <w:jc w:val="both"/>
    </w:pPr>
    <w:rPr>
      <w:rFonts w:ascii="Times New Roman" w:eastAsia="Times New Roman" w:hAnsi="Times New Roman" w:cs="Times New Roman"/>
      <w:color w:val="111111"/>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8228">
      <w:bodyDiv w:val="1"/>
      <w:marLeft w:val="0"/>
      <w:marRight w:val="0"/>
      <w:marTop w:val="0"/>
      <w:marBottom w:val="0"/>
      <w:divBdr>
        <w:top w:val="none" w:sz="0" w:space="0" w:color="auto"/>
        <w:left w:val="none" w:sz="0" w:space="0" w:color="auto"/>
        <w:bottom w:val="none" w:sz="0" w:space="0" w:color="auto"/>
        <w:right w:val="none" w:sz="0" w:space="0" w:color="auto"/>
      </w:divBdr>
    </w:div>
    <w:div w:id="291903409">
      <w:bodyDiv w:val="1"/>
      <w:marLeft w:val="0"/>
      <w:marRight w:val="0"/>
      <w:marTop w:val="0"/>
      <w:marBottom w:val="0"/>
      <w:divBdr>
        <w:top w:val="none" w:sz="0" w:space="0" w:color="auto"/>
        <w:left w:val="none" w:sz="0" w:space="0" w:color="auto"/>
        <w:bottom w:val="none" w:sz="0" w:space="0" w:color="auto"/>
        <w:right w:val="none" w:sz="0" w:space="0" w:color="auto"/>
      </w:divBdr>
      <w:divsChild>
        <w:div w:id="304510081">
          <w:marLeft w:val="0"/>
          <w:marRight w:val="0"/>
          <w:marTop w:val="0"/>
          <w:marBottom w:val="0"/>
          <w:divBdr>
            <w:top w:val="none" w:sz="0" w:space="0" w:color="auto"/>
            <w:left w:val="none" w:sz="0" w:space="0" w:color="auto"/>
            <w:bottom w:val="none" w:sz="0" w:space="0" w:color="auto"/>
            <w:right w:val="none" w:sz="0" w:space="0" w:color="auto"/>
          </w:divBdr>
          <w:divsChild>
            <w:div w:id="1094284036">
              <w:marLeft w:val="0"/>
              <w:marRight w:val="0"/>
              <w:marTop w:val="0"/>
              <w:marBottom w:val="0"/>
              <w:divBdr>
                <w:top w:val="none" w:sz="0" w:space="0" w:color="auto"/>
                <w:left w:val="none" w:sz="0" w:space="0" w:color="auto"/>
                <w:bottom w:val="none" w:sz="0" w:space="0" w:color="auto"/>
                <w:right w:val="none" w:sz="0" w:space="0" w:color="auto"/>
              </w:divBdr>
              <w:divsChild>
                <w:div w:id="846945288">
                  <w:marLeft w:val="0"/>
                  <w:marRight w:val="0"/>
                  <w:marTop w:val="0"/>
                  <w:marBottom w:val="0"/>
                  <w:divBdr>
                    <w:top w:val="none" w:sz="0" w:space="0" w:color="auto"/>
                    <w:left w:val="none" w:sz="0" w:space="0" w:color="auto"/>
                    <w:bottom w:val="none" w:sz="0" w:space="0" w:color="auto"/>
                    <w:right w:val="none" w:sz="0" w:space="0" w:color="auto"/>
                  </w:divBdr>
                  <w:divsChild>
                    <w:div w:id="1553662784">
                      <w:marLeft w:val="0"/>
                      <w:marRight w:val="0"/>
                      <w:marTop w:val="0"/>
                      <w:marBottom w:val="0"/>
                      <w:divBdr>
                        <w:top w:val="none" w:sz="0" w:space="0" w:color="auto"/>
                        <w:left w:val="none" w:sz="0" w:space="0" w:color="auto"/>
                        <w:bottom w:val="none" w:sz="0" w:space="0" w:color="auto"/>
                        <w:right w:val="none" w:sz="0" w:space="0" w:color="auto"/>
                      </w:divBdr>
                      <w:divsChild>
                        <w:div w:id="431361117">
                          <w:marLeft w:val="0"/>
                          <w:marRight w:val="0"/>
                          <w:marTop w:val="0"/>
                          <w:marBottom w:val="0"/>
                          <w:divBdr>
                            <w:top w:val="single" w:sz="6" w:space="0" w:color="9DA8AE"/>
                            <w:left w:val="single" w:sz="6" w:space="0" w:color="9DA8AE"/>
                            <w:bottom w:val="single" w:sz="6" w:space="0" w:color="9DA8AE"/>
                            <w:right w:val="single" w:sz="6" w:space="0" w:color="9DA8AE"/>
                          </w:divBdr>
                          <w:divsChild>
                            <w:div w:id="1608464001">
                              <w:marLeft w:val="0"/>
                              <w:marRight w:val="0"/>
                              <w:marTop w:val="0"/>
                              <w:marBottom w:val="0"/>
                              <w:divBdr>
                                <w:top w:val="none" w:sz="0" w:space="0" w:color="auto"/>
                                <w:left w:val="none" w:sz="0" w:space="0" w:color="auto"/>
                                <w:bottom w:val="none" w:sz="0" w:space="0" w:color="auto"/>
                                <w:right w:val="none" w:sz="0" w:space="0" w:color="auto"/>
                              </w:divBdr>
                              <w:divsChild>
                                <w:div w:id="106239867">
                                  <w:marLeft w:val="0"/>
                                  <w:marRight w:val="0"/>
                                  <w:marTop w:val="0"/>
                                  <w:marBottom w:val="0"/>
                                  <w:divBdr>
                                    <w:top w:val="none" w:sz="0" w:space="0" w:color="auto"/>
                                    <w:left w:val="none" w:sz="0" w:space="0" w:color="auto"/>
                                    <w:bottom w:val="none" w:sz="0" w:space="0" w:color="auto"/>
                                    <w:right w:val="none" w:sz="0" w:space="0" w:color="auto"/>
                                  </w:divBdr>
                                  <w:divsChild>
                                    <w:div w:id="1039009939">
                                      <w:marLeft w:val="-150"/>
                                      <w:marRight w:val="0"/>
                                      <w:marTop w:val="0"/>
                                      <w:marBottom w:val="0"/>
                                      <w:divBdr>
                                        <w:top w:val="none" w:sz="0" w:space="0" w:color="auto"/>
                                        <w:left w:val="none" w:sz="0" w:space="0" w:color="auto"/>
                                        <w:bottom w:val="none" w:sz="0" w:space="0" w:color="auto"/>
                                        <w:right w:val="none" w:sz="0" w:space="0" w:color="auto"/>
                                      </w:divBdr>
                                      <w:divsChild>
                                        <w:div w:id="891885248">
                                          <w:marLeft w:val="0"/>
                                          <w:marRight w:val="0"/>
                                          <w:marTop w:val="0"/>
                                          <w:marBottom w:val="0"/>
                                          <w:divBdr>
                                            <w:top w:val="none" w:sz="0" w:space="0" w:color="auto"/>
                                            <w:left w:val="none" w:sz="0" w:space="0" w:color="auto"/>
                                            <w:bottom w:val="none" w:sz="0" w:space="0" w:color="auto"/>
                                            <w:right w:val="none" w:sz="0" w:space="0" w:color="auto"/>
                                          </w:divBdr>
                                        </w:div>
                                        <w:div w:id="1217275097">
                                          <w:marLeft w:val="0"/>
                                          <w:marRight w:val="0"/>
                                          <w:marTop w:val="0"/>
                                          <w:marBottom w:val="0"/>
                                          <w:divBdr>
                                            <w:top w:val="none" w:sz="0" w:space="0" w:color="auto"/>
                                            <w:left w:val="none" w:sz="0" w:space="0" w:color="auto"/>
                                            <w:bottom w:val="none" w:sz="0" w:space="0" w:color="auto"/>
                                            <w:right w:val="none" w:sz="0" w:space="0" w:color="auto"/>
                                          </w:divBdr>
                                          <w:divsChild>
                                            <w:div w:id="218060628">
                                              <w:marLeft w:val="0"/>
                                              <w:marRight w:val="0"/>
                                              <w:marTop w:val="0"/>
                                              <w:marBottom w:val="0"/>
                                              <w:divBdr>
                                                <w:top w:val="none" w:sz="0" w:space="0" w:color="auto"/>
                                                <w:left w:val="none" w:sz="0" w:space="0" w:color="auto"/>
                                                <w:bottom w:val="none" w:sz="0" w:space="0" w:color="auto"/>
                                                <w:right w:val="none" w:sz="0" w:space="0" w:color="auto"/>
                                              </w:divBdr>
                                            </w:div>
                                          </w:divsChild>
                                        </w:div>
                                        <w:div w:id="302082896">
                                          <w:marLeft w:val="0"/>
                                          <w:marRight w:val="0"/>
                                          <w:marTop w:val="0"/>
                                          <w:marBottom w:val="0"/>
                                          <w:divBdr>
                                            <w:top w:val="none" w:sz="0" w:space="0" w:color="auto"/>
                                            <w:left w:val="none" w:sz="0" w:space="0" w:color="auto"/>
                                            <w:bottom w:val="none" w:sz="0" w:space="0" w:color="auto"/>
                                            <w:right w:val="none" w:sz="0" w:space="0" w:color="auto"/>
                                          </w:divBdr>
                                          <w:divsChild>
                                            <w:div w:id="54863051">
                                              <w:marLeft w:val="0"/>
                                              <w:marRight w:val="0"/>
                                              <w:marTop w:val="0"/>
                                              <w:marBottom w:val="0"/>
                                              <w:divBdr>
                                                <w:top w:val="none" w:sz="0" w:space="0" w:color="auto"/>
                                                <w:left w:val="none" w:sz="0" w:space="0" w:color="auto"/>
                                                <w:bottom w:val="none" w:sz="0" w:space="0" w:color="auto"/>
                                                <w:right w:val="none" w:sz="0" w:space="0" w:color="auto"/>
                                              </w:divBdr>
                                            </w:div>
                                          </w:divsChild>
                                        </w:div>
                                        <w:div w:id="14886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3578578">
      <w:bodyDiv w:val="1"/>
      <w:marLeft w:val="0"/>
      <w:marRight w:val="0"/>
      <w:marTop w:val="0"/>
      <w:marBottom w:val="0"/>
      <w:divBdr>
        <w:top w:val="none" w:sz="0" w:space="0" w:color="auto"/>
        <w:left w:val="none" w:sz="0" w:space="0" w:color="auto"/>
        <w:bottom w:val="none" w:sz="0" w:space="0" w:color="auto"/>
        <w:right w:val="none" w:sz="0" w:space="0" w:color="auto"/>
      </w:divBdr>
    </w:div>
    <w:div w:id="517357580">
      <w:bodyDiv w:val="1"/>
      <w:marLeft w:val="0"/>
      <w:marRight w:val="0"/>
      <w:marTop w:val="0"/>
      <w:marBottom w:val="0"/>
      <w:divBdr>
        <w:top w:val="none" w:sz="0" w:space="0" w:color="auto"/>
        <w:left w:val="none" w:sz="0" w:space="0" w:color="auto"/>
        <w:bottom w:val="none" w:sz="0" w:space="0" w:color="auto"/>
        <w:right w:val="none" w:sz="0" w:space="0" w:color="auto"/>
      </w:divBdr>
    </w:div>
    <w:div w:id="712578764">
      <w:bodyDiv w:val="1"/>
      <w:marLeft w:val="0"/>
      <w:marRight w:val="0"/>
      <w:marTop w:val="0"/>
      <w:marBottom w:val="0"/>
      <w:divBdr>
        <w:top w:val="none" w:sz="0" w:space="0" w:color="auto"/>
        <w:left w:val="none" w:sz="0" w:space="0" w:color="auto"/>
        <w:bottom w:val="none" w:sz="0" w:space="0" w:color="auto"/>
        <w:right w:val="none" w:sz="0" w:space="0" w:color="auto"/>
      </w:divBdr>
      <w:divsChild>
        <w:div w:id="2111847523">
          <w:marLeft w:val="0"/>
          <w:marRight w:val="0"/>
          <w:marTop w:val="0"/>
          <w:marBottom w:val="0"/>
          <w:divBdr>
            <w:top w:val="none" w:sz="0" w:space="0" w:color="auto"/>
            <w:left w:val="none" w:sz="0" w:space="0" w:color="auto"/>
            <w:bottom w:val="none" w:sz="0" w:space="0" w:color="auto"/>
            <w:right w:val="none" w:sz="0" w:space="0" w:color="auto"/>
          </w:divBdr>
          <w:divsChild>
            <w:div w:id="1663504545">
              <w:marLeft w:val="0"/>
              <w:marRight w:val="0"/>
              <w:marTop w:val="0"/>
              <w:marBottom w:val="0"/>
              <w:divBdr>
                <w:top w:val="none" w:sz="0" w:space="0" w:color="auto"/>
                <w:left w:val="none" w:sz="0" w:space="0" w:color="auto"/>
                <w:bottom w:val="none" w:sz="0" w:space="0" w:color="auto"/>
                <w:right w:val="none" w:sz="0" w:space="0" w:color="auto"/>
              </w:divBdr>
              <w:divsChild>
                <w:div w:id="616445174">
                  <w:marLeft w:val="0"/>
                  <w:marRight w:val="0"/>
                  <w:marTop w:val="0"/>
                  <w:marBottom w:val="0"/>
                  <w:divBdr>
                    <w:top w:val="none" w:sz="0" w:space="0" w:color="auto"/>
                    <w:left w:val="none" w:sz="0" w:space="0" w:color="auto"/>
                    <w:bottom w:val="none" w:sz="0" w:space="0" w:color="auto"/>
                    <w:right w:val="none" w:sz="0" w:space="0" w:color="auto"/>
                  </w:divBdr>
                  <w:divsChild>
                    <w:div w:id="28799959">
                      <w:marLeft w:val="0"/>
                      <w:marRight w:val="0"/>
                      <w:marTop w:val="0"/>
                      <w:marBottom w:val="0"/>
                      <w:divBdr>
                        <w:top w:val="none" w:sz="0" w:space="0" w:color="auto"/>
                        <w:left w:val="none" w:sz="0" w:space="0" w:color="auto"/>
                        <w:bottom w:val="none" w:sz="0" w:space="0" w:color="auto"/>
                        <w:right w:val="none" w:sz="0" w:space="0" w:color="auto"/>
                      </w:divBdr>
                      <w:divsChild>
                        <w:div w:id="399641838">
                          <w:marLeft w:val="0"/>
                          <w:marRight w:val="0"/>
                          <w:marTop w:val="0"/>
                          <w:marBottom w:val="0"/>
                          <w:divBdr>
                            <w:top w:val="single" w:sz="6" w:space="0" w:color="9DA8AE"/>
                            <w:left w:val="single" w:sz="6" w:space="0" w:color="9DA8AE"/>
                            <w:bottom w:val="single" w:sz="6" w:space="0" w:color="9DA8AE"/>
                            <w:right w:val="single" w:sz="6" w:space="0" w:color="9DA8AE"/>
                          </w:divBdr>
                          <w:divsChild>
                            <w:div w:id="1135219570">
                              <w:marLeft w:val="0"/>
                              <w:marRight w:val="0"/>
                              <w:marTop w:val="0"/>
                              <w:marBottom w:val="0"/>
                              <w:divBdr>
                                <w:top w:val="none" w:sz="0" w:space="0" w:color="auto"/>
                                <w:left w:val="none" w:sz="0" w:space="0" w:color="auto"/>
                                <w:bottom w:val="none" w:sz="0" w:space="0" w:color="auto"/>
                                <w:right w:val="none" w:sz="0" w:space="0" w:color="auto"/>
                              </w:divBdr>
                              <w:divsChild>
                                <w:div w:id="1284918923">
                                  <w:marLeft w:val="0"/>
                                  <w:marRight w:val="0"/>
                                  <w:marTop w:val="0"/>
                                  <w:marBottom w:val="0"/>
                                  <w:divBdr>
                                    <w:top w:val="none" w:sz="0" w:space="0" w:color="auto"/>
                                    <w:left w:val="none" w:sz="0" w:space="0" w:color="auto"/>
                                    <w:bottom w:val="none" w:sz="0" w:space="0" w:color="auto"/>
                                    <w:right w:val="none" w:sz="0" w:space="0" w:color="auto"/>
                                  </w:divBdr>
                                  <w:divsChild>
                                    <w:div w:id="1984771344">
                                      <w:marLeft w:val="-150"/>
                                      <w:marRight w:val="0"/>
                                      <w:marTop w:val="0"/>
                                      <w:marBottom w:val="0"/>
                                      <w:divBdr>
                                        <w:top w:val="none" w:sz="0" w:space="0" w:color="auto"/>
                                        <w:left w:val="none" w:sz="0" w:space="0" w:color="auto"/>
                                        <w:bottom w:val="none" w:sz="0" w:space="0" w:color="auto"/>
                                        <w:right w:val="none" w:sz="0" w:space="0" w:color="auto"/>
                                      </w:divBdr>
                                      <w:divsChild>
                                        <w:div w:id="1015039767">
                                          <w:marLeft w:val="0"/>
                                          <w:marRight w:val="0"/>
                                          <w:marTop w:val="0"/>
                                          <w:marBottom w:val="0"/>
                                          <w:divBdr>
                                            <w:top w:val="none" w:sz="0" w:space="0" w:color="auto"/>
                                            <w:left w:val="none" w:sz="0" w:space="0" w:color="auto"/>
                                            <w:bottom w:val="none" w:sz="0" w:space="0" w:color="auto"/>
                                            <w:right w:val="none" w:sz="0" w:space="0" w:color="auto"/>
                                          </w:divBdr>
                                        </w:div>
                                        <w:div w:id="1333602504">
                                          <w:marLeft w:val="0"/>
                                          <w:marRight w:val="0"/>
                                          <w:marTop w:val="0"/>
                                          <w:marBottom w:val="0"/>
                                          <w:divBdr>
                                            <w:top w:val="none" w:sz="0" w:space="0" w:color="auto"/>
                                            <w:left w:val="none" w:sz="0" w:space="0" w:color="auto"/>
                                            <w:bottom w:val="none" w:sz="0" w:space="0" w:color="auto"/>
                                            <w:right w:val="none" w:sz="0" w:space="0" w:color="auto"/>
                                          </w:divBdr>
                                        </w:div>
                                        <w:div w:id="240261606">
                                          <w:marLeft w:val="0"/>
                                          <w:marRight w:val="0"/>
                                          <w:marTop w:val="0"/>
                                          <w:marBottom w:val="0"/>
                                          <w:divBdr>
                                            <w:top w:val="none" w:sz="0" w:space="0" w:color="auto"/>
                                            <w:left w:val="none" w:sz="0" w:space="0" w:color="auto"/>
                                            <w:bottom w:val="none" w:sz="0" w:space="0" w:color="auto"/>
                                            <w:right w:val="none" w:sz="0" w:space="0" w:color="auto"/>
                                          </w:divBdr>
                                        </w:div>
                                        <w:div w:id="336880817">
                                          <w:marLeft w:val="0"/>
                                          <w:marRight w:val="0"/>
                                          <w:marTop w:val="0"/>
                                          <w:marBottom w:val="0"/>
                                          <w:divBdr>
                                            <w:top w:val="none" w:sz="0" w:space="0" w:color="auto"/>
                                            <w:left w:val="none" w:sz="0" w:space="0" w:color="auto"/>
                                            <w:bottom w:val="none" w:sz="0" w:space="0" w:color="auto"/>
                                            <w:right w:val="none" w:sz="0" w:space="0" w:color="auto"/>
                                          </w:divBdr>
                                        </w:div>
                                        <w:div w:id="1377244504">
                                          <w:marLeft w:val="0"/>
                                          <w:marRight w:val="0"/>
                                          <w:marTop w:val="0"/>
                                          <w:marBottom w:val="0"/>
                                          <w:divBdr>
                                            <w:top w:val="none" w:sz="0" w:space="0" w:color="auto"/>
                                            <w:left w:val="none" w:sz="0" w:space="0" w:color="auto"/>
                                            <w:bottom w:val="none" w:sz="0" w:space="0" w:color="auto"/>
                                            <w:right w:val="none" w:sz="0" w:space="0" w:color="auto"/>
                                          </w:divBdr>
                                        </w:div>
                                        <w:div w:id="1046027718">
                                          <w:marLeft w:val="0"/>
                                          <w:marRight w:val="0"/>
                                          <w:marTop w:val="0"/>
                                          <w:marBottom w:val="0"/>
                                          <w:divBdr>
                                            <w:top w:val="none" w:sz="0" w:space="0" w:color="auto"/>
                                            <w:left w:val="none" w:sz="0" w:space="0" w:color="auto"/>
                                            <w:bottom w:val="none" w:sz="0" w:space="0" w:color="auto"/>
                                            <w:right w:val="none" w:sz="0" w:space="0" w:color="auto"/>
                                          </w:divBdr>
                                          <w:divsChild>
                                            <w:div w:id="334697188">
                                              <w:marLeft w:val="0"/>
                                              <w:marRight w:val="0"/>
                                              <w:marTop w:val="0"/>
                                              <w:marBottom w:val="0"/>
                                              <w:divBdr>
                                                <w:top w:val="none" w:sz="0" w:space="0" w:color="auto"/>
                                                <w:left w:val="none" w:sz="0" w:space="0" w:color="auto"/>
                                                <w:bottom w:val="none" w:sz="0" w:space="0" w:color="auto"/>
                                                <w:right w:val="none" w:sz="0" w:space="0" w:color="auto"/>
                                              </w:divBdr>
                                            </w:div>
                                          </w:divsChild>
                                        </w:div>
                                        <w:div w:id="174346359">
                                          <w:marLeft w:val="0"/>
                                          <w:marRight w:val="0"/>
                                          <w:marTop w:val="0"/>
                                          <w:marBottom w:val="0"/>
                                          <w:divBdr>
                                            <w:top w:val="none" w:sz="0" w:space="0" w:color="auto"/>
                                            <w:left w:val="none" w:sz="0" w:space="0" w:color="auto"/>
                                            <w:bottom w:val="none" w:sz="0" w:space="0" w:color="auto"/>
                                            <w:right w:val="none" w:sz="0" w:space="0" w:color="auto"/>
                                          </w:divBdr>
                                          <w:divsChild>
                                            <w:div w:id="12791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203364">
      <w:bodyDiv w:val="1"/>
      <w:marLeft w:val="0"/>
      <w:marRight w:val="0"/>
      <w:marTop w:val="0"/>
      <w:marBottom w:val="0"/>
      <w:divBdr>
        <w:top w:val="none" w:sz="0" w:space="0" w:color="auto"/>
        <w:left w:val="none" w:sz="0" w:space="0" w:color="auto"/>
        <w:bottom w:val="none" w:sz="0" w:space="0" w:color="auto"/>
        <w:right w:val="none" w:sz="0" w:space="0" w:color="auto"/>
      </w:divBdr>
      <w:divsChild>
        <w:div w:id="1116289274">
          <w:marLeft w:val="0"/>
          <w:marRight w:val="0"/>
          <w:marTop w:val="0"/>
          <w:marBottom w:val="0"/>
          <w:divBdr>
            <w:top w:val="none" w:sz="0" w:space="0" w:color="auto"/>
            <w:left w:val="none" w:sz="0" w:space="0" w:color="auto"/>
            <w:bottom w:val="none" w:sz="0" w:space="0" w:color="auto"/>
            <w:right w:val="none" w:sz="0" w:space="0" w:color="auto"/>
          </w:divBdr>
          <w:divsChild>
            <w:div w:id="1164854909">
              <w:marLeft w:val="0"/>
              <w:marRight w:val="0"/>
              <w:marTop w:val="0"/>
              <w:marBottom w:val="0"/>
              <w:divBdr>
                <w:top w:val="none" w:sz="0" w:space="0" w:color="auto"/>
                <w:left w:val="none" w:sz="0" w:space="0" w:color="auto"/>
                <w:bottom w:val="none" w:sz="0" w:space="0" w:color="auto"/>
                <w:right w:val="none" w:sz="0" w:space="0" w:color="auto"/>
              </w:divBdr>
              <w:divsChild>
                <w:div w:id="846602711">
                  <w:marLeft w:val="0"/>
                  <w:marRight w:val="0"/>
                  <w:marTop w:val="0"/>
                  <w:marBottom w:val="0"/>
                  <w:divBdr>
                    <w:top w:val="none" w:sz="0" w:space="0" w:color="auto"/>
                    <w:left w:val="none" w:sz="0" w:space="0" w:color="auto"/>
                    <w:bottom w:val="none" w:sz="0" w:space="0" w:color="auto"/>
                    <w:right w:val="none" w:sz="0" w:space="0" w:color="auto"/>
                  </w:divBdr>
                  <w:divsChild>
                    <w:div w:id="909072815">
                      <w:marLeft w:val="0"/>
                      <w:marRight w:val="0"/>
                      <w:marTop w:val="0"/>
                      <w:marBottom w:val="0"/>
                      <w:divBdr>
                        <w:top w:val="none" w:sz="0" w:space="0" w:color="auto"/>
                        <w:left w:val="none" w:sz="0" w:space="0" w:color="auto"/>
                        <w:bottom w:val="none" w:sz="0" w:space="0" w:color="auto"/>
                        <w:right w:val="none" w:sz="0" w:space="0" w:color="auto"/>
                      </w:divBdr>
                      <w:divsChild>
                        <w:div w:id="1028145698">
                          <w:marLeft w:val="0"/>
                          <w:marRight w:val="0"/>
                          <w:marTop w:val="0"/>
                          <w:marBottom w:val="0"/>
                          <w:divBdr>
                            <w:top w:val="single" w:sz="6" w:space="0" w:color="9DA8AE"/>
                            <w:left w:val="single" w:sz="6" w:space="0" w:color="9DA8AE"/>
                            <w:bottom w:val="single" w:sz="6" w:space="0" w:color="9DA8AE"/>
                            <w:right w:val="single" w:sz="6" w:space="0" w:color="9DA8AE"/>
                          </w:divBdr>
                          <w:divsChild>
                            <w:div w:id="873234392">
                              <w:marLeft w:val="0"/>
                              <w:marRight w:val="0"/>
                              <w:marTop w:val="0"/>
                              <w:marBottom w:val="0"/>
                              <w:divBdr>
                                <w:top w:val="none" w:sz="0" w:space="0" w:color="auto"/>
                                <w:left w:val="none" w:sz="0" w:space="0" w:color="auto"/>
                                <w:bottom w:val="none" w:sz="0" w:space="0" w:color="auto"/>
                                <w:right w:val="none" w:sz="0" w:space="0" w:color="auto"/>
                              </w:divBdr>
                              <w:divsChild>
                                <w:div w:id="139082991">
                                  <w:marLeft w:val="0"/>
                                  <w:marRight w:val="0"/>
                                  <w:marTop w:val="0"/>
                                  <w:marBottom w:val="0"/>
                                  <w:divBdr>
                                    <w:top w:val="none" w:sz="0" w:space="0" w:color="auto"/>
                                    <w:left w:val="none" w:sz="0" w:space="0" w:color="auto"/>
                                    <w:bottom w:val="none" w:sz="0" w:space="0" w:color="auto"/>
                                    <w:right w:val="none" w:sz="0" w:space="0" w:color="auto"/>
                                  </w:divBdr>
                                  <w:divsChild>
                                    <w:div w:id="7678873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9701">
      <w:bodyDiv w:val="1"/>
      <w:marLeft w:val="0"/>
      <w:marRight w:val="0"/>
      <w:marTop w:val="0"/>
      <w:marBottom w:val="0"/>
      <w:divBdr>
        <w:top w:val="none" w:sz="0" w:space="0" w:color="auto"/>
        <w:left w:val="none" w:sz="0" w:space="0" w:color="auto"/>
        <w:bottom w:val="none" w:sz="0" w:space="0" w:color="auto"/>
        <w:right w:val="none" w:sz="0" w:space="0" w:color="auto"/>
      </w:divBdr>
      <w:divsChild>
        <w:div w:id="1164470232">
          <w:marLeft w:val="0"/>
          <w:marRight w:val="0"/>
          <w:marTop w:val="0"/>
          <w:marBottom w:val="0"/>
          <w:divBdr>
            <w:top w:val="none" w:sz="0" w:space="0" w:color="auto"/>
            <w:left w:val="none" w:sz="0" w:space="0" w:color="auto"/>
            <w:bottom w:val="none" w:sz="0" w:space="0" w:color="auto"/>
            <w:right w:val="none" w:sz="0" w:space="0" w:color="auto"/>
          </w:divBdr>
          <w:divsChild>
            <w:div w:id="129246636">
              <w:marLeft w:val="0"/>
              <w:marRight w:val="0"/>
              <w:marTop w:val="0"/>
              <w:marBottom w:val="0"/>
              <w:divBdr>
                <w:top w:val="none" w:sz="0" w:space="0" w:color="auto"/>
                <w:left w:val="none" w:sz="0" w:space="0" w:color="auto"/>
                <w:bottom w:val="none" w:sz="0" w:space="0" w:color="auto"/>
                <w:right w:val="none" w:sz="0" w:space="0" w:color="auto"/>
              </w:divBdr>
              <w:divsChild>
                <w:div w:id="534004184">
                  <w:marLeft w:val="0"/>
                  <w:marRight w:val="0"/>
                  <w:marTop w:val="0"/>
                  <w:marBottom w:val="0"/>
                  <w:divBdr>
                    <w:top w:val="none" w:sz="0" w:space="0" w:color="auto"/>
                    <w:left w:val="none" w:sz="0" w:space="0" w:color="auto"/>
                    <w:bottom w:val="none" w:sz="0" w:space="0" w:color="auto"/>
                    <w:right w:val="none" w:sz="0" w:space="0" w:color="auto"/>
                  </w:divBdr>
                  <w:divsChild>
                    <w:div w:id="787050231">
                      <w:marLeft w:val="0"/>
                      <w:marRight w:val="0"/>
                      <w:marTop w:val="0"/>
                      <w:marBottom w:val="0"/>
                      <w:divBdr>
                        <w:top w:val="none" w:sz="0" w:space="0" w:color="auto"/>
                        <w:left w:val="none" w:sz="0" w:space="0" w:color="auto"/>
                        <w:bottom w:val="none" w:sz="0" w:space="0" w:color="auto"/>
                        <w:right w:val="none" w:sz="0" w:space="0" w:color="auto"/>
                      </w:divBdr>
                      <w:divsChild>
                        <w:div w:id="812258794">
                          <w:marLeft w:val="0"/>
                          <w:marRight w:val="0"/>
                          <w:marTop w:val="0"/>
                          <w:marBottom w:val="0"/>
                          <w:divBdr>
                            <w:top w:val="single" w:sz="6" w:space="0" w:color="9DA8AE"/>
                            <w:left w:val="single" w:sz="6" w:space="0" w:color="9DA8AE"/>
                            <w:bottom w:val="single" w:sz="6" w:space="0" w:color="9DA8AE"/>
                            <w:right w:val="single" w:sz="6" w:space="0" w:color="9DA8AE"/>
                          </w:divBdr>
                          <w:divsChild>
                            <w:div w:id="1913924952">
                              <w:marLeft w:val="0"/>
                              <w:marRight w:val="0"/>
                              <w:marTop w:val="0"/>
                              <w:marBottom w:val="0"/>
                              <w:divBdr>
                                <w:top w:val="none" w:sz="0" w:space="0" w:color="auto"/>
                                <w:left w:val="none" w:sz="0" w:space="0" w:color="auto"/>
                                <w:bottom w:val="none" w:sz="0" w:space="0" w:color="auto"/>
                                <w:right w:val="none" w:sz="0" w:space="0" w:color="auto"/>
                              </w:divBdr>
                              <w:divsChild>
                                <w:div w:id="1222984922">
                                  <w:marLeft w:val="0"/>
                                  <w:marRight w:val="0"/>
                                  <w:marTop w:val="0"/>
                                  <w:marBottom w:val="0"/>
                                  <w:divBdr>
                                    <w:top w:val="none" w:sz="0" w:space="0" w:color="auto"/>
                                    <w:left w:val="none" w:sz="0" w:space="0" w:color="auto"/>
                                    <w:bottom w:val="none" w:sz="0" w:space="0" w:color="auto"/>
                                    <w:right w:val="none" w:sz="0" w:space="0" w:color="auto"/>
                                  </w:divBdr>
                                  <w:divsChild>
                                    <w:div w:id="1282228641">
                                      <w:marLeft w:val="-150"/>
                                      <w:marRight w:val="0"/>
                                      <w:marTop w:val="0"/>
                                      <w:marBottom w:val="0"/>
                                      <w:divBdr>
                                        <w:top w:val="none" w:sz="0" w:space="0" w:color="auto"/>
                                        <w:left w:val="none" w:sz="0" w:space="0" w:color="auto"/>
                                        <w:bottom w:val="none" w:sz="0" w:space="0" w:color="auto"/>
                                        <w:right w:val="none" w:sz="0" w:space="0" w:color="auto"/>
                                      </w:divBdr>
                                      <w:divsChild>
                                        <w:div w:id="2024939661">
                                          <w:marLeft w:val="0"/>
                                          <w:marRight w:val="0"/>
                                          <w:marTop w:val="0"/>
                                          <w:marBottom w:val="0"/>
                                          <w:divBdr>
                                            <w:top w:val="none" w:sz="0" w:space="0" w:color="auto"/>
                                            <w:left w:val="none" w:sz="0" w:space="0" w:color="auto"/>
                                            <w:bottom w:val="none" w:sz="0" w:space="0" w:color="auto"/>
                                            <w:right w:val="none" w:sz="0" w:space="0" w:color="auto"/>
                                          </w:divBdr>
                                          <w:divsChild>
                                            <w:div w:id="207107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p.gov.tr/KKS/userfiles/file/Ulke_Masalari/BAE/turk_firma_yatirimlari.xl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5150</Words>
  <Characters>29355</Characters>
  <Application>Microsoft Office Word</Application>
  <DocSecurity>0</DocSecurity>
  <Lines>244</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Basaktemiz</dc:creator>
  <cp:keywords/>
  <dc:description/>
  <cp:lastModifiedBy>Basaktemiz</cp:lastModifiedBy>
  <cp:revision>2</cp:revision>
  <dcterms:created xsi:type="dcterms:W3CDTF">2014-05-06T11:13:00Z</dcterms:created>
  <dcterms:modified xsi:type="dcterms:W3CDTF">2014-05-06T11:37:00Z</dcterms:modified>
</cp:coreProperties>
</file>